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E404" w14:textId="3E53B108" w:rsidR="008959A1" w:rsidRPr="008959A1" w:rsidRDefault="00146893"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03</w:t>
      </w:r>
      <w:r w:rsidR="0068688B">
        <w:rPr>
          <w:rFonts w:ascii="Times New Roman" w:eastAsia="MS Mincho" w:hAnsi="Times New Roman" w:cs="Times New Roman"/>
          <w:vanish/>
          <w:sz w:val="20"/>
          <w:szCs w:val="20"/>
        </w:rPr>
        <w:t>/</w:t>
      </w:r>
      <w:r>
        <w:rPr>
          <w:rFonts w:ascii="Times New Roman" w:eastAsia="MS Mincho" w:hAnsi="Times New Roman" w:cs="Times New Roman"/>
          <w:vanish/>
          <w:sz w:val="20"/>
          <w:szCs w:val="20"/>
        </w:rPr>
        <w:t>22</w:t>
      </w:r>
      <w:r w:rsidR="008959A1" w:rsidRPr="008959A1">
        <w:rPr>
          <w:rFonts w:ascii="Times New Roman" w:eastAsia="MS Mincho" w:hAnsi="Times New Roman" w:cs="Times New Roman"/>
          <w:vanish/>
          <w:sz w:val="20"/>
          <w:szCs w:val="20"/>
        </w:rPr>
        <w:t>/20</w:t>
      </w:r>
      <w:r w:rsidR="003D2110">
        <w:rPr>
          <w:rFonts w:ascii="Times New Roman" w:eastAsia="MS Mincho" w:hAnsi="Times New Roman" w:cs="Times New Roman"/>
          <w:vanish/>
          <w:sz w:val="20"/>
          <w:szCs w:val="20"/>
        </w:rPr>
        <w:t>2</w:t>
      </w:r>
      <w:r w:rsidR="00176E10">
        <w:rPr>
          <w:rFonts w:ascii="Times New Roman" w:eastAsia="MS Mincho" w:hAnsi="Times New Roman" w:cs="Times New Roman"/>
          <w:vanish/>
          <w:sz w:val="20"/>
          <w:szCs w:val="20"/>
        </w:rPr>
        <w:t>2</w:t>
      </w:r>
    </w:p>
    <w:p w14:paraId="648916D0" w14:textId="47A45817"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w:t>
      </w:r>
      <w:r w:rsidR="00146893">
        <w:rPr>
          <w:rFonts w:ascii="Times New Roman" w:eastAsia="MS Mincho" w:hAnsi="Times New Roman" w:cs="Times New Roman"/>
          <w:vanish/>
          <w:sz w:val="20"/>
          <w:szCs w:val="20"/>
        </w:rPr>
        <w:t>03222022</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133F4681" w14:textId="77777777" w:rsidTr="00AE4138">
        <w:trPr>
          <w:hidden/>
        </w:trPr>
        <w:tc>
          <w:tcPr>
            <w:tcW w:w="9576" w:type="dxa"/>
          </w:tcPr>
          <w:p w14:paraId="7A3D0D97"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7D808506" w14:textId="77777777"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14:paraId="467C1FE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A4BAAC8" w14:textId="77777777" w:rsidTr="00AE4138">
        <w:trPr>
          <w:hidden/>
        </w:trPr>
        <w:tc>
          <w:tcPr>
            <w:tcW w:w="9576" w:type="dxa"/>
          </w:tcPr>
          <w:p w14:paraId="22E1C4E8"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3E3A4D4"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5F37419D"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6D4BA648" w14:textId="77777777" w:rsidTr="00AE4138">
        <w:trPr>
          <w:hidden/>
        </w:trPr>
        <w:tc>
          <w:tcPr>
            <w:tcW w:w="9576" w:type="dxa"/>
          </w:tcPr>
          <w:p w14:paraId="6AFE3897" w14:textId="77777777" w:rsidR="00275D49" w:rsidRDefault="006D35B3" w:rsidP="004510EB">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r w:rsidR="004510EB">
              <w:rPr>
                <w:rFonts w:ascii="Arial" w:eastAsia="MS Mincho" w:hAnsi="Arial"/>
                <w:vanish/>
                <w:color w:val="0000FF"/>
              </w:rPr>
              <w:t xml:space="preserve">.  </w:t>
            </w:r>
            <w:r w:rsidR="004510EB" w:rsidRPr="003D36CF">
              <w:rPr>
                <w:rFonts w:ascii="Arial" w:eastAsia="MS Mincho" w:hAnsi="Arial"/>
                <w:vanish/>
                <w:color w:val="0000FF"/>
                <w:highlight w:val="yellow"/>
              </w:rPr>
              <w:t>Delete</w:t>
            </w:r>
            <w:r w:rsidR="00655929" w:rsidRPr="003D36CF">
              <w:rPr>
                <w:rFonts w:ascii="Arial" w:eastAsia="MS Mincho" w:hAnsi="Arial"/>
                <w:vanish/>
                <w:color w:val="0000FF"/>
                <w:highlight w:val="yellow"/>
              </w:rPr>
              <w:t xml:space="preserve"> bullets (1) and</w:t>
            </w:r>
            <w:r w:rsidR="004510EB" w:rsidRPr="003D36CF">
              <w:rPr>
                <w:rFonts w:ascii="Arial" w:eastAsia="MS Mincho" w:hAnsi="Arial"/>
                <w:vanish/>
                <w:color w:val="0000FF"/>
                <w:highlight w:val="yellow"/>
              </w:rPr>
              <w:t xml:space="preserve"> (2) if staking data is not going to be provided</w:t>
            </w:r>
            <w:r w:rsidR="004510EB">
              <w:rPr>
                <w:rFonts w:ascii="Arial" w:eastAsia="MS Mincho" w:hAnsi="Arial"/>
                <w:vanish/>
                <w:color w:val="0000FF"/>
              </w:rPr>
              <w:t xml:space="preserve">. </w:t>
            </w:r>
          </w:p>
          <w:p w14:paraId="38E43144" w14:textId="77777777" w:rsidR="00275D49" w:rsidRDefault="00275D49" w:rsidP="004510EB">
            <w:pPr>
              <w:pStyle w:val="PlainText"/>
              <w:rPr>
                <w:rFonts w:ascii="Arial" w:eastAsia="MS Mincho" w:hAnsi="Arial"/>
                <w:vanish/>
                <w:color w:val="0000FF"/>
              </w:rPr>
            </w:pPr>
          </w:p>
          <w:p w14:paraId="20B6C1C3" w14:textId="3CB986DA" w:rsidR="00275D49" w:rsidRDefault="00275D49" w:rsidP="004510EB">
            <w:pPr>
              <w:pStyle w:val="PlainText"/>
              <w:rPr>
                <w:rFonts w:ascii="Arial" w:eastAsia="MS Mincho" w:hAnsi="Arial"/>
                <w:vanish/>
                <w:color w:val="0000FF"/>
              </w:rPr>
            </w:pPr>
            <w:r>
              <w:rPr>
                <w:rFonts w:ascii="Arial" w:eastAsia="MS Mincho" w:hAnsi="Arial"/>
                <w:vanish/>
                <w:color w:val="0000FF"/>
              </w:rPr>
              <w:t xml:space="preserve">If a </w:t>
            </w:r>
            <w:r w:rsidR="00111ED9">
              <w:rPr>
                <w:rFonts w:ascii="Arial" w:eastAsia="MS Mincho" w:hAnsi="Arial"/>
                <w:vanish/>
                <w:color w:val="0000FF"/>
              </w:rPr>
              <w:t>3D surface</w:t>
            </w:r>
            <w:r>
              <w:rPr>
                <w:rFonts w:ascii="Arial" w:eastAsia="MS Mincho" w:hAnsi="Arial"/>
                <w:vanish/>
                <w:color w:val="0000FF"/>
              </w:rPr>
              <w:t xml:space="preserve"> will be provided on your project: </w:t>
            </w:r>
          </w:p>
          <w:p w14:paraId="50BAA8C5" w14:textId="58020FFD" w:rsidR="00275D49" w:rsidRDefault="00275D49" w:rsidP="00275D49">
            <w:pPr>
              <w:pStyle w:val="PlainText"/>
              <w:numPr>
                <w:ilvl w:val="0"/>
                <w:numId w:val="13"/>
              </w:numPr>
              <w:rPr>
                <w:rFonts w:ascii="Arial" w:eastAsia="MS Mincho" w:hAnsi="Arial"/>
                <w:vanish/>
                <w:color w:val="0000FF"/>
              </w:rPr>
            </w:pPr>
            <w:r>
              <w:rPr>
                <w:rFonts w:ascii="Arial" w:eastAsia="MS Mincho" w:hAnsi="Arial"/>
                <w:vanish/>
                <w:color w:val="0000FF"/>
              </w:rPr>
              <w:t xml:space="preserve">Confirm what </w:t>
            </w:r>
            <w:r w:rsidR="007277FE">
              <w:rPr>
                <w:rFonts w:ascii="Arial" w:eastAsia="MS Mincho" w:hAnsi="Arial"/>
                <w:vanish/>
                <w:color w:val="0000FF"/>
              </w:rPr>
              <w:t>surfaces</w:t>
            </w:r>
            <w:r>
              <w:rPr>
                <w:rFonts w:ascii="Arial" w:eastAsia="MS Mincho" w:hAnsi="Arial"/>
                <w:vanish/>
                <w:color w:val="0000FF"/>
              </w:rPr>
              <w:t xml:space="preserve"> will be provided with the project PM and COE.  </w:t>
            </w:r>
          </w:p>
          <w:p w14:paraId="60750069" w14:textId="1CC3A341" w:rsidR="006D35B3" w:rsidRDefault="00275D49" w:rsidP="00275D49">
            <w:pPr>
              <w:pStyle w:val="PlainText"/>
              <w:numPr>
                <w:ilvl w:val="0"/>
                <w:numId w:val="13"/>
              </w:numPr>
              <w:rPr>
                <w:rFonts w:ascii="Arial" w:eastAsia="MS Mincho" w:hAnsi="Arial"/>
                <w:vanish/>
                <w:color w:val="0000FF"/>
              </w:rPr>
            </w:pPr>
            <w:r>
              <w:rPr>
                <w:rFonts w:ascii="Arial" w:eastAsia="MS Mincho" w:hAnsi="Arial"/>
                <w:vanish/>
                <w:color w:val="0000FF"/>
              </w:rPr>
              <w:t xml:space="preserve">Do not add references to the </w:t>
            </w:r>
            <w:r w:rsidR="007277FE">
              <w:rPr>
                <w:rFonts w:ascii="Arial" w:eastAsia="MS Mincho" w:hAnsi="Arial"/>
                <w:vanish/>
                <w:color w:val="0000FF"/>
              </w:rPr>
              <w:t>surfaces</w:t>
            </w:r>
            <w:r>
              <w:rPr>
                <w:rFonts w:ascii="Arial" w:eastAsia="MS Mincho" w:hAnsi="Arial"/>
                <w:vanish/>
                <w:color w:val="0000FF"/>
              </w:rPr>
              <w:t xml:space="preserve"> in this SCR.  </w:t>
            </w:r>
          </w:p>
          <w:p w14:paraId="65DD13C0" w14:textId="52AC77DC" w:rsidR="00275D49" w:rsidRDefault="00275D49" w:rsidP="00146893">
            <w:pPr>
              <w:pStyle w:val="PlainText"/>
              <w:numPr>
                <w:ilvl w:val="0"/>
                <w:numId w:val="13"/>
              </w:numPr>
              <w:rPr>
                <w:rFonts w:ascii="Arial" w:eastAsia="MS Mincho" w:hAnsi="Arial"/>
                <w:vanish/>
                <w:color w:val="0000FF"/>
              </w:rPr>
            </w:pPr>
            <w:r>
              <w:rPr>
                <w:rFonts w:ascii="Arial" w:eastAsia="MS Mincho" w:hAnsi="Arial"/>
                <w:vanish/>
                <w:color w:val="0000FF"/>
              </w:rPr>
              <w:t>Surface models</w:t>
            </w:r>
            <w:r w:rsidR="007277FE">
              <w:rPr>
                <w:rFonts w:ascii="Arial" w:eastAsia="MS Mincho" w:hAnsi="Arial"/>
                <w:vanish/>
                <w:color w:val="0000FF"/>
              </w:rPr>
              <w:t>,</w:t>
            </w:r>
            <w:r>
              <w:rPr>
                <w:rFonts w:ascii="Arial" w:eastAsia="MS Mincho" w:hAnsi="Arial"/>
                <w:vanish/>
                <w:color w:val="0000FF"/>
              </w:rPr>
              <w:t xml:space="preserve"> in LANDXML format</w:t>
            </w:r>
            <w:r w:rsidR="007277FE">
              <w:rPr>
                <w:rFonts w:ascii="Arial" w:eastAsia="MS Mincho" w:hAnsi="Arial"/>
                <w:vanish/>
                <w:color w:val="0000FF"/>
              </w:rPr>
              <w:t>,</w:t>
            </w:r>
            <w:r>
              <w:rPr>
                <w:rFonts w:ascii="Arial" w:eastAsia="MS Mincho" w:hAnsi="Arial"/>
                <w:vanish/>
                <w:color w:val="0000FF"/>
              </w:rPr>
              <w:t xml:space="preserve"> should be completed as part of the final submittal and provided at the time of Acq check-in.  The</w:t>
            </w:r>
            <w:r w:rsidR="007277FE">
              <w:rPr>
                <w:rFonts w:ascii="Arial" w:eastAsia="MS Mincho" w:hAnsi="Arial"/>
                <w:vanish/>
                <w:color w:val="0000FF"/>
              </w:rPr>
              <w:t>se</w:t>
            </w:r>
            <w:r>
              <w:rPr>
                <w:rFonts w:ascii="Arial" w:eastAsia="MS Mincho" w:hAnsi="Arial"/>
                <w:vanish/>
                <w:color w:val="0000FF"/>
              </w:rPr>
              <w:t xml:space="preserve"> </w:t>
            </w:r>
            <w:r w:rsidR="007277FE">
              <w:rPr>
                <w:rFonts w:ascii="Arial" w:eastAsia="MS Mincho" w:hAnsi="Arial"/>
                <w:vanish/>
                <w:color w:val="0000FF"/>
              </w:rPr>
              <w:t>files</w:t>
            </w:r>
            <w:r>
              <w:rPr>
                <w:rFonts w:ascii="Arial" w:eastAsia="MS Mincho" w:hAnsi="Arial"/>
                <w:vanish/>
                <w:color w:val="0000FF"/>
              </w:rPr>
              <w:t xml:space="preserve"> will be posted with the physical data provided at time of bid. </w:t>
            </w:r>
          </w:p>
        </w:tc>
      </w:tr>
    </w:tbl>
    <w:p w14:paraId="0A3709D3"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7C80AC41"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F5D3A30"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668E37F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7905507F"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BEE1591"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superelevation template data and slope information.</w:t>
      </w:r>
    </w:p>
    <w:p w14:paraId="7CC12FEE" w14:textId="77777777" w:rsidR="00D12F25" w:rsidRDefault="00D12F25" w:rsidP="00E975DC">
      <w:pPr>
        <w:pStyle w:val="Indent1"/>
        <w:ind w:left="0"/>
      </w:pPr>
      <w:r>
        <w:t>Perform additional conversions and calculations as necessary for convenient use of Government-furnished data.  The Contractor is responsible for the accuracy of all information converted from the Government-furnished data.  Provide immediate notification of apparent errors in the furnished data.</w:t>
      </w:r>
    </w:p>
    <w:p w14:paraId="33429E77"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5459973E" w14:textId="77777777" w:rsidTr="00246024">
        <w:trPr>
          <w:hidden/>
        </w:trPr>
        <w:tc>
          <w:tcPr>
            <w:tcW w:w="9576" w:type="dxa"/>
          </w:tcPr>
          <w:p w14:paraId="1DC61D2A"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0C0C0E34"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5898ADA"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5496E890" w14:textId="77777777" w:rsidTr="00AE4138">
        <w:trPr>
          <w:hidden/>
        </w:trPr>
        <w:tc>
          <w:tcPr>
            <w:tcW w:w="9576" w:type="dxa"/>
          </w:tcPr>
          <w:p w14:paraId="48A09C3F" w14:textId="77777777" w:rsidR="008F692D" w:rsidRPr="008B2457" w:rsidRDefault="004F114E" w:rsidP="00AE4138">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3C64C7AF"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014D6995"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11D826EA"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033B9D63" w14:textId="77777777" w:rsidTr="00AE4138">
        <w:trPr>
          <w:hidden/>
        </w:trPr>
        <w:tc>
          <w:tcPr>
            <w:tcW w:w="9576" w:type="dxa"/>
          </w:tcPr>
          <w:p w14:paraId="2C5991D0"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projects where field fitting /  re-design is anticpated due to limited survey data available during design.</w:t>
            </w:r>
          </w:p>
        </w:tc>
      </w:tr>
    </w:tbl>
    <w:p w14:paraId="21119F5E"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3C1BA46B"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lastRenderedPageBreak/>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B7F65BE"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316EE31F"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60BDF7A"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1088FC2D" w14:textId="75021278"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777D6" w14:paraId="1767D27D" w14:textId="77777777" w:rsidTr="009718B5">
        <w:trPr>
          <w:hidden/>
        </w:trPr>
        <w:tc>
          <w:tcPr>
            <w:tcW w:w="9270" w:type="dxa"/>
          </w:tcPr>
          <w:p w14:paraId="68120C1E" w14:textId="79A9A082" w:rsidR="001777D6" w:rsidRDefault="001777D6" w:rsidP="009718B5">
            <w:pPr>
              <w:pStyle w:val="PlainText"/>
              <w:rPr>
                <w:rFonts w:ascii="Arial" w:eastAsia="MS Mincho" w:hAnsi="Arial"/>
                <w:vanish/>
                <w:color w:val="0000FF"/>
              </w:rPr>
            </w:pPr>
            <w:r>
              <w:rPr>
                <w:rFonts w:ascii="Arial" w:eastAsia="MS Mincho" w:hAnsi="Arial"/>
                <w:vanish/>
                <w:color w:val="0000FF"/>
              </w:rPr>
              <w:t xml:space="preserve">Use on projects with </w:t>
            </w:r>
            <w:r w:rsidRPr="001777D6">
              <w:rPr>
                <w:rFonts w:ascii="Arial" w:eastAsia="MS Mincho" w:hAnsi="Arial"/>
                <w:vanish/>
                <w:color w:val="0000FF"/>
              </w:rPr>
              <w:t>Slope, reference, a</w:t>
            </w:r>
            <w:r>
              <w:rPr>
                <w:rFonts w:ascii="Arial" w:eastAsia="MS Mincho" w:hAnsi="Arial"/>
                <w:vanish/>
                <w:color w:val="0000FF"/>
              </w:rPr>
              <w:t>nd clearing and grubbing stakes.</w:t>
            </w:r>
          </w:p>
        </w:tc>
      </w:tr>
    </w:tbl>
    <w:p w14:paraId="7EC384CE" w14:textId="0A1BA9ED" w:rsidR="00E07F0E" w:rsidRDefault="00E07F0E" w:rsidP="00E07F0E">
      <w:pPr>
        <w:pStyle w:val="PlainText"/>
        <w:spacing w:after="240"/>
        <w:ind w:left="360"/>
        <w:rPr>
          <w:rFonts w:ascii="Times New Roman" w:eastAsia="MS Mincho" w:hAnsi="Times New Roman"/>
          <w:b/>
          <w:sz w:val="24"/>
        </w:rPr>
      </w:pPr>
      <w:r w:rsidRPr="00E07F0E">
        <w:rPr>
          <w:rFonts w:ascii="Times New Roman" w:eastAsia="MS Mincho" w:hAnsi="Times New Roman"/>
          <w:b/>
          <w:sz w:val="24"/>
        </w:rPr>
        <w:t>(d) Slope and references stakes.</w:t>
      </w:r>
    </w:p>
    <w:p w14:paraId="6193208C" w14:textId="31C9D505" w:rsidR="00E07F0E" w:rsidRDefault="00E07F0E" w:rsidP="00146893">
      <w:pPr>
        <w:pStyle w:val="PlainText"/>
        <w:spacing w:after="240"/>
        <w:ind w:left="360" w:firstLine="360"/>
        <w:rPr>
          <w:rFonts w:ascii="Times New Roman" w:eastAsia="MS Mincho" w:hAnsi="Times New Roman"/>
          <w:sz w:val="24"/>
          <w:u w:val="single"/>
        </w:rPr>
      </w:pPr>
      <w:r w:rsidRPr="00146893">
        <w:rPr>
          <w:rFonts w:ascii="Times New Roman" w:eastAsia="MS Mincho" w:hAnsi="Times New Roman"/>
          <w:b/>
          <w:sz w:val="24"/>
        </w:rPr>
        <w:t>(2) Conventional survey methods.</w:t>
      </w:r>
      <w:r w:rsidRPr="00E07F0E">
        <w:rPr>
          <w:rFonts w:ascii="Times New Roman" w:eastAsia="MS Mincho" w:hAnsi="Times New Roman"/>
          <w:sz w:val="24"/>
        </w:rPr>
        <w:t xml:space="preserve"> </w:t>
      </w:r>
      <w:r>
        <w:rPr>
          <w:rFonts w:ascii="Times New Roman" w:eastAsia="MS Mincho" w:hAnsi="Times New Roman"/>
          <w:sz w:val="24"/>
        </w:rPr>
        <w:t xml:space="preserve">  </w:t>
      </w:r>
      <w:r>
        <w:rPr>
          <w:rFonts w:ascii="Times New Roman" w:eastAsia="MS Mincho" w:hAnsi="Times New Roman"/>
          <w:sz w:val="24"/>
          <w:u w:val="single"/>
        </w:rPr>
        <w:t>Add</w:t>
      </w:r>
      <w:r w:rsidRPr="00557ABD">
        <w:rPr>
          <w:rFonts w:ascii="Times New Roman" w:eastAsia="MS Mincho" w:hAnsi="Times New Roman"/>
          <w:sz w:val="24"/>
          <w:u w:val="single"/>
        </w:rPr>
        <w:t xml:space="preserve"> the following:</w:t>
      </w:r>
    </w:p>
    <w:p w14:paraId="26FDDFAF" w14:textId="681C423B" w:rsidR="001777D6" w:rsidRDefault="001777D6" w:rsidP="00146893">
      <w:pPr>
        <w:pStyle w:val="PlainText"/>
        <w:spacing w:after="240"/>
        <w:ind w:left="720"/>
        <w:rPr>
          <w:rFonts w:ascii="Times New Roman" w:eastAsia="MS Mincho" w:hAnsi="Times New Roman"/>
          <w:sz w:val="24"/>
        </w:rPr>
      </w:pPr>
      <w:r w:rsidRPr="001777D6">
        <w:rPr>
          <w:rFonts w:ascii="Times New Roman" w:eastAsia="MS Mincho" w:hAnsi="Times New Roman"/>
          <w:sz w:val="24"/>
        </w:rPr>
        <w:t xml:space="preserve">When the centerline curve radius is less than or equal to 250 feet (75 meters), use a maximum longitudinal spacing between stakes of 25 feet (8 meters). When the centerline </w:t>
      </w:r>
      <w:r>
        <w:rPr>
          <w:rFonts w:ascii="Times New Roman" w:eastAsia="MS Mincho" w:hAnsi="Times New Roman"/>
          <w:sz w:val="24"/>
        </w:rPr>
        <w:t xml:space="preserve">is on a tangent or the </w:t>
      </w:r>
      <w:r w:rsidRPr="001777D6">
        <w:rPr>
          <w:rFonts w:ascii="Times New Roman" w:eastAsia="MS Mincho" w:hAnsi="Times New Roman"/>
          <w:sz w:val="24"/>
        </w:rPr>
        <w:t>curve radius is greater than 250 feet (75 meters), use a maximum longitudinal spacing between stakes of 50 feet (15 meters).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B1F48" w14:paraId="7814BCDF" w14:textId="77777777" w:rsidTr="00EA291F">
        <w:trPr>
          <w:hidden/>
        </w:trPr>
        <w:tc>
          <w:tcPr>
            <w:tcW w:w="9270" w:type="dxa"/>
          </w:tcPr>
          <w:p w14:paraId="723F0E4E" w14:textId="77777777" w:rsidR="003B1F48" w:rsidRDefault="00EA291F" w:rsidP="00456C8F">
            <w:pPr>
              <w:pStyle w:val="PlainText"/>
              <w:rPr>
                <w:rFonts w:ascii="Arial" w:eastAsia="MS Mincho" w:hAnsi="Arial"/>
                <w:vanish/>
                <w:color w:val="0000FF"/>
              </w:rPr>
            </w:pPr>
            <w:r>
              <w:rPr>
                <w:rFonts w:ascii="Arial" w:eastAsia="MS Mincho" w:hAnsi="Arial"/>
                <w:vanish/>
                <w:color w:val="0000FF"/>
              </w:rPr>
              <w:t>Use on projects with grade finishing stakes.</w:t>
            </w:r>
          </w:p>
        </w:tc>
      </w:tr>
    </w:tbl>
    <w:p w14:paraId="4E9E9EA3" w14:textId="77777777" w:rsidR="00A362BB" w:rsidRDefault="00A362BB" w:rsidP="00AE4138">
      <w:pPr>
        <w:pStyle w:val="PlainText"/>
        <w:rPr>
          <w:rFonts w:ascii="Times New Roman" w:eastAsia="MS Mincho" w:hAnsi="Times New Roman"/>
          <w:sz w:val="24"/>
        </w:rPr>
      </w:pPr>
    </w:p>
    <w:p w14:paraId="3638B526" w14:textId="77777777" w:rsidR="00EA291F" w:rsidRDefault="006549D4" w:rsidP="00EA291F">
      <w:pPr>
        <w:pStyle w:val="PlainText"/>
        <w:spacing w:after="240"/>
        <w:ind w:left="360"/>
        <w:rPr>
          <w:rFonts w:ascii="Times New Roman" w:eastAsia="MS Mincho" w:hAnsi="Times New Roman"/>
          <w:sz w:val="24"/>
          <w:szCs w:val="24"/>
          <w:u w:val="single"/>
        </w:rPr>
      </w:pPr>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paragrap</w:t>
      </w:r>
      <w:r>
        <w:rPr>
          <w:rFonts w:ascii="Times New Roman" w:eastAsia="MS Mincho" w:hAnsi="Times New Roman"/>
          <w:sz w:val="24"/>
          <w:szCs w:val="24"/>
          <w:u w:val="single"/>
        </w:rPr>
        <w:t>h (1) AMG method</w:t>
      </w:r>
      <w:r w:rsidR="00EA291F">
        <w:rPr>
          <w:rFonts w:ascii="Times New Roman" w:eastAsia="MS Mincho" w:hAnsi="Times New Roman"/>
          <w:sz w:val="24"/>
          <w:szCs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293E6F0F" w14:textId="77777777" w:rsidTr="00AE15A9">
        <w:trPr>
          <w:trHeight w:val="270"/>
          <w:hidden/>
        </w:trPr>
        <w:tc>
          <w:tcPr>
            <w:tcW w:w="9576" w:type="dxa"/>
          </w:tcPr>
          <w:p w14:paraId="388A35CB" w14:textId="791944E7" w:rsidR="00557ABD" w:rsidRDefault="00C347F2" w:rsidP="00AE15A9">
            <w:pPr>
              <w:pStyle w:val="PlainText"/>
              <w:rPr>
                <w:rFonts w:ascii="Arial" w:eastAsia="MS Mincho" w:hAnsi="Arial"/>
                <w:vanish/>
                <w:color w:val="0000FF"/>
              </w:rPr>
            </w:pPr>
            <w:r>
              <w:rPr>
                <w:rFonts w:ascii="Arial" w:eastAsia="MS Mincho" w:hAnsi="Arial"/>
                <w:vanish/>
                <w:color w:val="0000FF"/>
              </w:rPr>
              <w:t>Use</w:t>
            </w:r>
            <w:r w:rsidR="00557ABD">
              <w:rPr>
                <w:rFonts w:ascii="Arial" w:eastAsia="MS Mincho" w:hAnsi="Arial"/>
                <w:vanish/>
                <w:color w:val="0000FF"/>
              </w:rPr>
              <w:t xml:space="preserve"> on all projects with culverts, </w:t>
            </w:r>
            <w:r w:rsidR="00413BF1">
              <w:rPr>
                <w:rFonts w:ascii="Arial" w:eastAsia="MS Mincho" w:hAnsi="Arial"/>
                <w:vanish/>
                <w:color w:val="0000FF"/>
              </w:rPr>
              <w:t>including culvert extensions.</w:t>
            </w:r>
          </w:p>
        </w:tc>
      </w:tr>
    </w:tbl>
    <w:p w14:paraId="5B3762C5" w14:textId="59755B1C"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the </w:t>
      </w:r>
      <w:r w:rsidR="009F5A01">
        <w:rPr>
          <w:rFonts w:ascii="Times New Roman" w:eastAsia="MS Mincho" w:hAnsi="Times New Roman"/>
          <w:sz w:val="24"/>
          <w:szCs w:val="24"/>
          <w:u w:val="single"/>
        </w:rPr>
        <w:t>text</w:t>
      </w:r>
      <w:r w:rsidRPr="004B0885">
        <w:rPr>
          <w:rFonts w:ascii="Times New Roman" w:eastAsia="MS Mincho" w:hAnsi="Times New Roman"/>
          <w:sz w:val="24"/>
          <w:szCs w:val="24"/>
          <w:u w:val="single"/>
        </w:rPr>
        <w:t xml:space="preserve"> and substitute the following:</w:t>
      </w:r>
    </w:p>
    <w:p w14:paraId="2D3EC8E9" w14:textId="60A38C2B" w:rsidR="008E53A5" w:rsidRDefault="008E53A5" w:rsidP="00D754C1">
      <w:pPr>
        <w:pStyle w:val="PlainText"/>
        <w:spacing w:after="240"/>
        <w:ind w:left="360"/>
        <w:rPr>
          <w:rFonts w:ascii="Times New Roman" w:eastAsia="MS Mincho" w:hAnsi="Times New Roman"/>
          <w:sz w:val="24"/>
          <w:szCs w:val="24"/>
        </w:rPr>
      </w:pPr>
      <w:r w:rsidRPr="008E53A5">
        <w:rPr>
          <w:rFonts w:ascii="Times New Roman" w:eastAsia="MS Mincho" w:hAnsi="Times New Roman"/>
          <w:sz w:val="24"/>
          <w:szCs w:val="24"/>
        </w:rPr>
        <w:t>Verify and set culvert locations at the inlet, outlet, and inlet basin points according to the plans</w:t>
      </w:r>
      <w:r>
        <w:rPr>
          <w:rFonts w:ascii="Times New Roman" w:eastAsia="MS Mincho" w:hAnsi="Times New Roman"/>
          <w:sz w:val="24"/>
          <w:szCs w:val="24"/>
        </w:rPr>
        <w:t xml:space="preserve">.  Plot the centerline of the proposed culvert at a </w:t>
      </w:r>
      <w:r w:rsidR="00413BF1">
        <w:rPr>
          <w:rFonts w:ascii="Times New Roman" w:eastAsia="MS Mincho" w:hAnsi="Times New Roman"/>
          <w:sz w:val="24"/>
          <w:szCs w:val="24"/>
        </w:rPr>
        <w:t>1:20</w:t>
      </w:r>
      <w:r>
        <w:rPr>
          <w:rFonts w:ascii="Times New Roman" w:eastAsia="MS Mincho" w:hAnsi="Times New Roman"/>
          <w:sz w:val="24"/>
          <w:szCs w:val="24"/>
        </w:rPr>
        <w:t xml:space="preserve"> scale.  Show the natural ground, the flow line, the roadway section, and the culvert including end treatments and other appurtenances.  Provide the elevations, grade, culvert length, degree of elbow, catch points, and hinge points on the plot.</w:t>
      </w:r>
    </w:p>
    <w:p w14:paraId="1F65EBE6" w14:textId="49A0FE0B" w:rsidR="00F455C0"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sz w:val="24"/>
          <w:szCs w:val="24"/>
        </w:rPr>
        <w:t>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w:t>
      </w:r>
      <w:r w:rsidR="007452F0">
        <w:rPr>
          <w:rFonts w:ascii="Times New Roman" w:eastAsia="MS Mincho" w:hAnsi="Times New Roman"/>
          <w:sz w:val="24"/>
          <w:szCs w:val="24"/>
        </w:rPr>
        <w:t>,</w:t>
      </w:r>
      <w:r w:rsidR="006F609D">
        <w:rPr>
          <w:rFonts w:ascii="Times New Roman" w:eastAsia="MS Mincho" w:hAnsi="Times New Roman"/>
          <w:sz w:val="24"/>
          <w:szCs w:val="24"/>
        </w:rPr>
        <w:t xml:space="preserve"> when the CO requires adjustment to a culvert location</w:t>
      </w:r>
      <w:r w:rsidR="007452F0">
        <w:rPr>
          <w:rFonts w:ascii="Times New Roman" w:eastAsia="MS Mincho" w:hAnsi="Times New Roman"/>
          <w:sz w:val="24"/>
          <w:szCs w:val="24"/>
        </w:rPr>
        <w:t>, or when a culvert design isn’t provided for a new culvert, culvert replacement, or culvert extension</w:t>
      </w:r>
      <w:r w:rsidRPr="004B0885">
        <w:rPr>
          <w:rFonts w:ascii="Times New Roman" w:eastAsia="MS Mincho" w:hAnsi="Times New Roman"/>
          <w:sz w:val="24"/>
          <w:szCs w:val="24"/>
        </w:rPr>
        <w:t>:</w:t>
      </w:r>
    </w:p>
    <w:p w14:paraId="19A64D83" w14:textId="5331A0C1" w:rsidR="009F5A01"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(1)</w:t>
      </w:r>
      <w:r w:rsidRPr="00BD759F">
        <w:rPr>
          <w:rFonts w:ascii="Times New Roman" w:hAnsi="Times New Roman" w:cs="Times New Roman"/>
          <w:sz w:val="24"/>
          <w:szCs w:val="24"/>
        </w:rPr>
        <w:t xml:space="preserve"> </w:t>
      </w:r>
      <w:r w:rsidR="009F5A01">
        <w:rPr>
          <w:rFonts w:ascii="Times New Roman" w:hAnsi="Times New Roman" w:cs="Times New Roman"/>
          <w:sz w:val="24"/>
          <w:szCs w:val="24"/>
        </w:rPr>
        <w:t xml:space="preserve">Recommend a revised culvert location and alignment if needed. </w:t>
      </w:r>
    </w:p>
    <w:p w14:paraId="33EF3399" w14:textId="746A20A4" w:rsidR="00F455C0" w:rsidRPr="00BD759F" w:rsidRDefault="009F5A01"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sidR="00F455C0" w:rsidRPr="00BD759F">
        <w:rPr>
          <w:rFonts w:ascii="Times New Roman" w:hAnsi="Times New Roman" w:cs="Times New Roman"/>
          <w:sz w:val="24"/>
          <w:szCs w:val="24"/>
        </w:rPr>
        <w:t>Survey and record the ground profile along the culvert centerline;</w:t>
      </w:r>
    </w:p>
    <w:p w14:paraId="7A9B5589" w14:textId="2BFBD798"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3</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Determine the slope catch points at the inlet and outlet;</w:t>
      </w:r>
    </w:p>
    <w:p w14:paraId="342D6A9F" w14:textId="1D1EA280"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4</w:t>
      </w:r>
      <w:r w:rsidRPr="00BD759F">
        <w:rPr>
          <w:rFonts w:ascii="Times New Roman" w:hAnsi="Times New Roman" w:cs="Times New Roman"/>
          <w:b/>
          <w:sz w:val="24"/>
          <w:szCs w:val="24"/>
        </w:rPr>
        <w:t xml:space="preserve">) </w:t>
      </w:r>
      <w:r w:rsidRPr="00BD759F">
        <w:rPr>
          <w:rFonts w:ascii="Times New Roman" w:hAnsi="Times New Roman" w:cs="Times New Roman"/>
          <w:sz w:val="24"/>
          <w:szCs w:val="24"/>
        </w:rPr>
        <w:t>Set reference points and record information necessary to determine culvert length and end treatments;</w:t>
      </w:r>
    </w:p>
    <w:p w14:paraId="4D60275C" w14:textId="0A07F52B" w:rsidR="00F455C0" w:rsidRPr="00BD759F" w:rsidRDefault="00F455C0" w:rsidP="006A5D82">
      <w:pPr>
        <w:pStyle w:val="ListParagraph"/>
        <w:autoSpaceDE w:val="0"/>
        <w:autoSpaceDN w:val="0"/>
        <w:adjustRightInd w:val="0"/>
        <w:spacing w:after="160" w:line="240" w:lineRule="auto"/>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5</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Plot to scale the profile along the culvert centerline. Show the natural ground, the flow line, the roadway section, and the culvert including end treatments and other appurtenances. Show elevations, grade, culvert length, and degree of elbow.</w:t>
      </w:r>
    </w:p>
    <w:p w14:paraId="7CD2C6D7"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(a)</w:t>
      </w:r>
      <w:r w:rsidRPr="00BD759F">
        <w:rPr>
          <w:rFonts w:ascii="Times New Roman" w:hAnsi="Times New Roman" w:cs="Times New Roman"/>
          <w:sz w:val="24"/>
          <w:szCs w:val="24"/>
        </w:rPr>
        <w:t xml:space="preserve"> For single skewed culverts, submit a plotted field-design cross-section normal to roadway centerline and at each end section. Plot the offset and elevation of natural ground at the end section and at proposed template break points between centerline and the end section. Ensure the template design embankment slope is not exceeded;</w:t>
      </w:r>
    </w:p>
    <w:p w14:paraId="3D231ED1"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(b)</w:t>
      </w:r>
      <w:r w:rsidRPr="00BD759F">
        <w:rPr>
          <w:rFonts w:ascii="Times New Roman" w:hAnsi="Times New Roman" w:cs="Times New Roman"/>
          <w:sz w:val="24"/>
          <w:szCs w:val="24"/>
        </w:rPr>
        <w:t xml:space="preserve"> For multiple skewed culverts, submit a plotted field design cross-section normal to roadway centerline and at the end sections (left and right) nearest to the shoulder. Plot the offset and elevation of natural ground at the end section and at proposed template break points between centerline and the end section. Ensure the template design embankment slope is not exceeded;</w:t>
      </w:r>
    </w:p>
    <w:p w14:paraId="07620362" w14:textId="77777777" w:rsidR="00F455C0" w:rsidRPr="006A5D82"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(c)</w:t>
      </w:r>
      <w:r w:rsidRPr="00BD759F">
        <w:rPr>
          <w:rFonts w:ascii="Times New Roman" w:hAnsi="Times New Roman" w:cs="Times New Roman"/>
          <w:sz w:val="24"/>
          <w:szCs w:val="24"/>
        </w:rPr>
        <w:t xml:space="preserve"> Submit the plotted field-design cross-section for approval of final culvert length and alignment. </w:t>
      </w:r>
      <w:r w:rsidRPr="006A5D82">
        <w:rPr>
          <w:rFonts w:ascii="Times New Roman" w:hAnsi="Times New Roman" w:cs="Times New Roman"/>
          <w:sz w:val="24"/>
          <w:szCs w:val="24"/>
        </w:rPr>
        <w:t>Plot at a clear and readable scale;</w:t>
      </w:r>
    </w:p>
    <w:p w14:paraId="562876B4"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(d) Set inlet, outlet, and reference stakes when the field design has been approved. Stake inlet and outlet ditches to make sure the culvert and end treatments (such as drop inlets) are functional; and</w:t>
      </w:r>
    </w:p>
    <w:p w14:paraId="695EC8C1" w14:textId="77777777" w:rsidR="00F455C0" w:rsidRPr="00F455C0"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(e)</w:t>
      </w:r>
      <w:r w:rsidRPr="00BD759F">
        <w:rPr>
          <w:rFonts w:ascii="Times New Roman" w:hAnsi="Times New Roman" w:cs="Times New Roman"/>
          <w:sz w:val="24"/>
          <w:szCs w:val="24"/>
        </w:rPr>
        <w:t xml:space="preserve"> Adjust slope, reference, and clearing stakes as necessary to provide for culvert inlet treatments in cut slopes.</w:t>
      </w:r>
      <w:r w:rsidRPr="006A5D82">
        <w:t xml:space="preserve"> Readjust</w:t>
      </w:r>
      <w:r w:rsidRPr="006A5D82">
        <w:rPr>
          <w:rFonts w:ascii="Times New Roman" w:hAnsi="Times New Roman" w:cs="Times New Roman"/>
          <w:sz w:val="24"/>
          <w:szCs w:val="24"/>
        </w:rPr>
        <w:t xml:space="preserve"> slope, reference, and clearing stakes as necessary when culvert inlets are moved from their plan locations. Review slope adjustments with the CO and obtain approval.</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94F302D" w14:textId="77777777" w:rsidTr="00146893">
        <w:trPr>
          <w:hidden/>
        </w:trPr>
        <w:tc>
          <w:tcPr>
            <w:tcW w:w="9270" w:type="dxa"/>
          </w:tcPr>
          <w:p w14:paraId="39A064FE"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t>Use 152.05(i) on all projects</w:t>
            </w:r>
            <w:r w:rsidR="002A1BAD">
              <w:rPr>
                <w:rFonts w:ascii="Arial" w:eastAsia="MS Mincho" w:hAnsi="Arial"/>
                <w:vanish/>
                <w:color w:val="0000FF"/>
              </w:rPr>
              <w:t xml:space="preserve"> with retaining walls</w:t>
            </w:r>
          </w:p>
        </w:tc>
      </w:tr>
    </w:tbl>
    <w:p w14:paraId="4DF813BA"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(i</w:t>
      </w:r>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41199732"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(i)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023090A" w14:textId="77777777" w:rsidTr="00AE4138">
        <w:trPr>
          <w:hidden/>
        </w:trPr>
        <w:tc>
          <w:tcPr>
            <w:tcW w:w="9576" w:type="dxa"/>
          </w:tcPr>
          <w:p w14:paraId="0DCA1DBA"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1DE323C4" w14:textId="77777777" w:rsidR="00995E9B" w:rsidRDefault="00995E9B" w:rsidP="00995E9B">
            <w:pPr>
              <w:pStyle w:val="PlainText"/>
              <w:rPr>
                <w:rFonts w:ascii="Arial" w:eastAsia="MS Mincho" w:hAnsi="Arial" w:cs="Arial"/>
                <w:vanish/>
                <w:color w:val="0000FF"/>
              </w:rPr>
            </w:pPr>
          </w:p>
          <w:p w14:paraId="2DDFDCB6"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5B1E6CB8"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393DAF81"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 xml:space="preserve">landmarks (e.g., culverts, turnouts, approach roads) to verify that the ground stationing matches the stationing shown </w:t>
      </w:r>
      <w:r>
        <w:rPr>
          <w:rFonts w:ascii="Times New Roman" w:eastAsia="MS Mincho" w:hAnsi="Times New Roman"/>
          <w:sz w:val="24"/>
        </w:rPr>
        <w:lastRenderedPageBreak/>
        <w:t>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E82B5DE"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at 2</w:t>
      </w:r>
      <w:r w:rsidR="001D4FB3" w:rsidRPr="001D4FB3">
        <w:rPr>
          <w:rFonts w:ascii="Times New Roman" w:eastAsia="Times New Roman" w:hAnsi="Times New Roman" w:cs="Times New Roman"/>
          <w:sz w:val="24"/>
          <w:szCs w:val="20"/>
        </w:rPr>
        <w:t xml:space="preserve">00 foot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4787BC7F"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3D572C7A"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54522414"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6E3EF259"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7FE42D6D"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3EC3E365" w14:textId="77777777" w:rsidTr="00AE4138">
        <w:trPr>
          <w:hidden/>
        </w:trPr>
        <w:tc>
          <w:tcPr>
            <w:tcW w:w="9576" w:type="dxa"/>
          </w:tcPr>
          <w:p w14:paraId="6FAF9A6B"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7BF78283"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6156E036"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5CE464F0"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4101258D"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640A6E4F"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F36AF9A"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6FFB9E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2EF3E13"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4F2D14C6"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lastRenderedPageBreak/>
        <w:t>(6)</w:t>
      </w:r>
      <w:r w:rsidRPr="008F692D">
        <w:rPr>
          <w:rFonts w:ascii="Times New Roman" w:eastAsia="MS Mincho" w:hAnsi="Times New Roman"/>
          <w:sz w:val="24"/>
          <w:szCs w:val="24"/>
        </w:rPr>
        <w:t xml:space="preserve"> Offset to face of existing/proposed guardrail.</w:t>
      </w:r>
    </w:p>
    <w:p w14:paraId="0F82E0C6"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2AF5D489"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33E765FC"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4F4042B2"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Control crown and supe</w:t>
      </w:r>
      <w:r w:rsidR="00EF0211" w:rsidRPr="00417B96">
        <w:rPr>
          <w:rFonts w:ascii="Times New Roman" w:hAnsi="Times New Roman" w:cs="Times New Roman"/>
          <w:color w:val="000000"/>
          <w:sz w:val="24"/>
          <w:szCs w:val="24"/>
        </w:rPr>
        <w:t>relevation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14:paraId="6F4B91CF"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4125A8A9"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superelevation runoff and tangent runout lengths to transition between the cr</w:t>
      </w:r>
      <w:r w:rsidR="00EF0211" w:rsidRPr="00417B96">
        <w:rPr>
          <w:rFonts w:ascii="Times New Roman" w:hAnsi="Times New Roman" w:cs="Times New Roman"/>
          <w:color w:val="000000"/>
          <w:sz w:val="24"/>
          <w:szCs w:val="24"/>
        </w:rPr>
        <w:t>own on tangents and superelevation</w:t>
      </w:r>
      <w:r w:rsidRPr="00417B96">
        <w:rPr>
          <w:rFonts w:ascii="Times New Roman" w:hAnsi="Times New Roman" w:cs="Times New Roman"/>
          <w:color w:val="000000"/>
          <w:sz w:val="24"/>
          <w:szCs w:val="24"/>
        </w:rPr>
        <w:t xml:space="preserve"> on curves.</w:t>
      </w:r>
    </w:p>
    <w:p w14:paraId="5CC43BFA"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2FB4DF25" w14:textId="77777777" w:rsidTr="00AE4138">
        <w:trPr>
          <w:hidden/>
        </w:trPr>
        <w:tc>
          <w:tcPr>
            <w:tcW w:w="9576" w:type="dxa"/>
          </w:tcPr>
          <w:p w14:paraId="6F3DC4D4" w14:textId="77777777" w:rsidR="006D35B3" w:rsidRDefault="006D35B3" w:rsidP="00AE4138">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48E15818"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7FD7FC4"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 xml:space="preserve">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w:t>
      </w:r>
      <w:r w:rsidRPr="00417B96">
        <w:rPr>
          <w:rFonts w:ascii="Times New Roman" w:eastAsiaTheme="minorEastAsia" w:hAnsi="Times New Roman"/>
          <w:color w:val="000000"/>
          <w:sz w:val="24"/>
          <w:szCs w:val="24"/>
        </w:rPr>
        <w:lastRenderedPageBreak/>
        <w:t>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6700D935" w14:textId="77777777" w:rsidTr="00AE4138">
        <w:trPr>
          <w:hidden/>
        </w:trPr>
        <w:tc>
          <w:tcPr>
            <w:tcW w:w="9576" w:type="dxa"/>
          </w:tcPr>
          <w:p w14:paraId="231B3D06"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14:paraId="2699B1C7"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9CC9F3F" w14:textId="77777777" w:rsidTr="00922105">
        <w:trPr>
          <w:hidden/>
        </w:trPr>
        <w:tc>
          <w:tcPr>
            <w:tcW w:w="9270" w:type="dxa"/>
          </w:tcPr>
          <w:p w14:paraId="0002E30A" w14:textId="77777777" w:rsidR="00F92CBE" w:rsidRPr="002F607E" w:rsidRDefault="00F92CBE" w:rsidP="00AE4138">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0A05F89A" w14:textId="5B3585DE"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922105">
        <w:rPr>
          <w:rFonts w:ascii="Times New Roman" w:eastAsia="Times New Roman" w:hAnsi="Times New Roman" w:cs="Times New Roman"/>
          <w:bCs/>
          <w:sz w:val="24"/>
          <w:szCs w:val="24"/>
        </w:rPr>
        <w:t xml:space="preserve"> </w:t>
      </w:r>
      <w:r w:rsidR="00922105">
        <w:rPr>
          <w:rFonts w:ascii="Times New Roman" w:eastAsia="Times New Roman" w:hAnsi="Times New Roman" w:cs="Times New Roman"/>
          <w:bCs/>
          <w:sz w:val="24"/>
          <w:szCs w:val="24"/>
          <w:u w:val="single"/>
        </w:rPr>
        <w:t>Delete the third</w:t>
      </w:r>
      <w:r w:rsidR="002F607E" w:rsidRPr="002F607E">
        <w:rPr>
          <w:rFonts w:ascii="Times New Roman" w:eastAsia="Times New Roman" w:hAnsi="Times New Roman" w:cs="Times New Roman"/>
          <w:bCs/>
          <w:sz w:val="24"/>
          <w:szCs w:val="24"/>
          <w:u w:val="single"/>
        </w:rPr>
        <w:t xml:space="preserve"> paragraph and substitute the following:</w:t>
      </w:r>
    </w:p>
    <w:p w14:paraId="221EDC8C" w14:textId="07BC315A"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105" w:rsidRPr="002F607E" w14:paraId="5F71655C" w14:textId="77777777" w:rsidTr="00973ACB">
        <w:trPr>
          <w:hidden/>
        </w:trPr>
        <w:tc>
          <w:tcPr>
            <w:tcW w:w="9576" w:type="dxa"/>
          </w:tcPr>
          <w:p w14:paraId="68F6CF08" w14:textId="77777777" w:rsidR="00922105" w:rsidRPr="002F607E" w:rsidRDefault="00922105" w:rsidP="00973ACB">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1C4A5324" w14:textId="2E993F70" w:rsidR="00922105" w:rsidRPr="00F92CBE" w:rsidRDefault="00922105" w:rsidP="00922105">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Pr>
          <w:rFonts w:ascii="Times New Roman" w:eastAsia="MS Mincho" w:hAnsi="Times New Roman" w:cs="Times New Roman"/>
          <w:sz w:val="24"/>
          <w:szCs w:val="20"/>
          <w:u w:val="single"/>
        </w:rPr>
        <w:t>Add the following to the fourth</w:t>
      </w:r>
      <w:r w:rsidRPr="00F92CBE">
        <w:rPr>
          <w:rFonts w:ascii="Times New Roman" w:eastAsia="MS Mincho" w:hAnsi="Times New Roman" w:cs="Times New Roman"/>
          <w:sz w:val="24"/>
          <w:szCs w:val="20"/>
          <w:u w:val="single"/>
        </w:rPr>
        <w:t xml:space="preserve"> paragraph:</w:t>
      </w:r>
    </w:p>
    <w:p w14:paraId="59BDFF45" w14:textId="6A6441F3" w:rsidR="00922105" w:rsidRDefault="00922105" w:rsidP="00922105">
      <w:pPr>
        <w:spacing w:after="240" w:line="264" w:lineRule="auto"/>
        <w:jc w:val="both"/>
        <w:rPr>
          <w:rFonts w:ascii="Times New Roman" w:eastAsia="Times New Roman" w:hAnsi="Times New Roman" w:cs="Times New Roman"/>
          <w:bCs/>
          <w:sz w:val="24"/>
          <w:szCs w:val="24"/>
        </w:rPr>
      </w:pPr>
      <w:r w:rsidRPr="002F607E">
        <w:rPr>
          <w:rFonts w:ascii="Times New Roman" w:eastAsia="MS Mincho" w:hAnsi="Times New Roman" w:cs="Times New Roman"/>
          <w:sz w:val="24"/>
          <w:szCs w:val="20"/>
        </w:rPr>
        <w:t>Reestablis</w:t>
      </w:r>
      <w:r>
        <w:rPr>
          <w:rFonts w:ascii="Times New Roman" w:eastAsia="MS Mincho" w:hAnsi="Times New Roman" w:cs="Times New Roman"/>
          <w:sz w:val="24"/>
          <w:szCs w:val="20"/>
        </w:rPr>
        <w:t>hing missing control points</w:t>
      </w:r>
      <w:r w:rsidRPr="002F607E">
        <w:rPr>
          <w:rFonts w:ascii="Times New Roman" w:eastAsia="MS Mincho" w:hAnsi="Times New Roman" w:cs="Times New Roman"/>
          <w:sz w:val="24"/>
          <w:szCs w:val="20"/>
        </w:rPr>
        <w:t xml:space="preserve"> and stakes will be measured under Special labor, Hired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CA951C" w14:textId="77777777" w:rsidTr="00AE4138">
        <w:trPr>
          <w:hidden/>
        </w:trPr>
        <w:tc>
          <w:tcPr>
            <w:tcW w:w="9576" w:type="dxa"/>
          </w:tcPr>
          <w:p w14:paraId="14FFB4DF"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66C716F1" w14:textId="7E70B54C" w:rsidR="005F5E1B" w:rsidRDefault="00922105" w:rsidP="005F5E1B">
      <w:pPr>
        <w:spacing w:after="24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152.07</w:t>
      </w:r>
      <w:r w:rsidR="005F5E1B">
        <w:rPr>
          <w:rFonts w:ascii="Times New Roman" w:eastAsia="Times New Roman" w:hAnsi="Times New Roman" w:cs="Times New Roman"/>
          <w:bCs/>
          <w:sz w:val="24"/>
          <w:szCs w:val="24"/>
        </w:rPr>
        <w:t xml:space="preserve"> </w:t>
      </w:r>
      <w:r w:rsidR="005F5E1B" w:rsidRPr="00F92CBE">
        <w:rPr>
          <w:rFonts w:ascii="Times New Roman" w:eastAsia="Times New Roman" w:hAnsi="Times New Roman" w:cs="Times New Roman"/>
          <w:bCs/>
          <w:sz w:val="24"/>
          <w:szCs w:val="24"/>
          <w:u w:val="single"/>
        </w:rPr>
        <w:t>Add the following:</w:t>
      </w:r>
    </w:p>
    <w:p w14:paraId="7EC813D8"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2568C129" w14:textId="77777777" w:rsidTr="00AE4138">
        <w:trPr>
          <w:hidden/>
        </w:trPr>
        <w:tc>
          <w:tcPr>
            <w:tcW w:w="9576" w:type="dxa"/>
          </w:tcPr>
          <w:p w14:paraId="5CAE4A64"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EC70BC6" w14:textId="42B14642"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751B8883"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1EA97357"/>
    <w:multiLevelType w:val="hybridMultilevel"/>
    <w:tmpl w:val="4AD0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D1BE9"/>
    <w:multiLevelType w:val="hybridMultilevel"/>
    <w:tmpl w:val="546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E42B0"/>
    <w:multiLevelType w:val="hybridMultilevel"/>
    <w:tmpl w:val="6FD47FEE"/>
    <w:lvl w:ilvl="0" w:tplc="5856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1"/>
  </w:num>
  <w:num w:numId="5">
    <w:abstractNumId w:val="7"/>
  </w:num>
  <w:num w:numId="6">
    <w:abstractNumId w:val="5"/>
  </w:num>
  <w:num w:numId="7">
    <w:abstractNumId w:val="2"/>
  </w:num>
  <w:num w:numId="8">
    <w:abstractNumId w:val="0"/>
  </w:num>
  <w:num w:numId="9">
    <w:abstractNumId w:val="1"/>
  </w:num>
  <w:num w:numId="10">
    <w:abstractNumId w:val="3"/>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2D"/>
    <w:rsid w:val="00001310"/>
    <w:rsid w:val="000018F2"/>
    <w:rsid w:val="000156D4"/>
    <w:rsid w:val="0002792E"/>
    <w:rsid w:val="00087D17"/>
    <w:rsid w:val="000A0B16"/>
    <w:rsid w:val="00111ED9"/>
    <w:rsid w:val="00113D20"/>
    <w:rsid w:val="00140DA9"/>
    <w:rsid w:val="00146893"/>
    <w:rsid w:val="00161668"/>
    <w:rsid w:val="00176E10"/>
    <w:rsid w:val="001777D6"/>
    <w:rsid w:val="001907A7"/>
    <w:rsid w:val="001B32F6"/>
    <w:rsid w:val="001D4FB3"/>
    <w:rsid w:val="001E710C"/>
    <w:rsid w:val="00233959"/>
    <w:rsid w:val="00246024"/>
    <w:rsid w:val="00275D49"/>
    <w:rsid w:val="002A1BAD"/>
    <w:rsid w:val="002C5661"/>
    <w:rsid w:val="002C56D7"/>
    <w:rsid w:val="002E2DE3"/>
    <w:rsid w:val="002F607E"/>
    <w:rsid w:val="003032AF"/>
    <w:rsid w:val="00304317"/>
    <w:rsid w:val="00317D28"/>
    <w:rsid w:val="00353BF1"/>
    <w:rsid w:val="00367615"/>
    <w:rsid w:val="0037033A"/>
    <w:rsid w:val="003851F9"/>
    <w:rsid w:val="00390F6B"/>
    <w:rsid w:val="003A07F1"/>
    <w:rsid w:val="003B1F48"/>
    <w:rsid w:val="003C06B8"/>
    <w:rsid w:val="003D2110"/>
    <w:rsid w:val="003D2FD8"/>
    <w:rsid w:val="003D36CF"/>
    <w:rsid w:val="004056EF"/>
    <w:rsid w:val="00413BF1"/>
    <w:rsid w:val="00416E4E"/>
    <w:rsid w:val="00417B96"/>
    <w:rsid w:val="00437142"/>
    <w:rsid w:val="004510EB"/>
    <w:rsid w:val="00480330"/>
    <w:rsid w:val="0048343E"/>
    <w:rsid w:val="0049757F"/>
    <w:rsid w:val="004A51E0"/>
    <w:rsid w:val="004D3458"/>
    <w:rsid w:val="004E530D"/>
    <w:rsid w:val="004F114E"/>
    <w:rsid w:val="00505D77"/>
    <w:rsid w:val="005504A2"/>
    <w:rsid w:val="00553E1F"/>
    <w:rsid w:val="00557ABD"/>
    <w:rsid w:val="00563E58"/>
    <w:rsid w:val="005937E9"/>
    <w:rsid w:val="005A1A12"/>
    <w:rsid w:val="005F5E1B"/>
    <w:rsid w:val="006274E4"/>
    <w:rsid w:val="0063305F"/>
    <w:rsid w:val="00635EDF"/>
    <w:rsid w:val="006549D4"/>
    <w:rsid w:val="00655929"/>
    <w:rsid w:val="006670DC"/>
    <w:rsid w:val="00670008"/>
    <w:rsid w:val="00672ED1"/>
    <w:rsid w:val="0068688B"/>
    <w:rsid w:val="006A5D82"/>
    <w:rsid w:val="006D35B3"/>
    <w:rsid w:val="006F609D"/>
    <w:rsid w:val="007277FE"/>
    <w:rsid w:val="00730BA7"/>
    <w:rsid w:val="007350D5"/>
    <w:rsid w:val="007452F0"/>
    <w:rsid w:val="00797BEB"/>
    <w:rsid w:val="007E022E"/>
    <w:rsid w:val="007E55DF"/>
    <w:rsid w:val="007E746E"/>
    <w:rsid w:val="0081226A"/>
    <w:rsid w:val="008959A1"/>
    <w:rsid w:val="008A515F"/>
    <w:rsid w:val="008D6E28"/>
    <w:rsid w:val="008E53A5"/>
    <w:rsid w:val="008F3674"/>
    <w:rsid w:val="008F692D"/>
    <w:rsid w:val="00922105"/>
    <w:rsid w:val="00923E5C"/>
    <w:rsid w:val="00927B03"/>
    <w:rsid w:val="0093246E"/>
    <w:rsid w:val="00990543"/>
    <w:rsid w:val="00995E9B"/>
    <w:rsid w:val="009B54AA"/>
    <w:rsid w:val="009C4E6F"/>
    <w:rsid w:val="009D45B2"/>
    <w:rsid w:val="009E63C7"/>
    <w:rsid w:val="009E7C1B"/>
    <w:rsid w:val="009F5A01"/>
    <w:rsid w:val="00A327CC"/>
    <w:rsid w:val="00A34D50"/>
    <w:rsid w:val="00A362BB"/>
    <w:rsid w:val="00A3793C"/>
    <w:rsid w:val="00A767B5"/>
    <w:rsid w:val="00AB0E23"/>
    <w:rsid w:val="00AB5A58"/>
    <w:rsid w:val="00AE15A9"/>
    <w:rsid w:val="00AE4138"/>
    <w:rsid w:val="00B2286E"/>
    <w:rsid w:val="00B41BB6"/>
    <w:rsid w:val="00B66819"/>
    <w:rsid w:val="00BB4147"/>
    <w:rsid w:val="00BD759F"/>
    <w:rsid w:val="00BE4F09"/>
    <w:rsid w:val="00C119E5"/>
    <w:rsid w:val="00C26A28"/>
    <w:rsid w:val="00C32CBB"/>
    <w:rsid w:val="00C347F2"/>
    <w:rsid w:val="00C65673"/>
    <w:rsid w:val="00C94E1F"/>
    <w:rsid w:val="00CB7C75"/>
    <w:rsid w:val="00CF2737"/>
    <w:rsid w:val="00D12F25"/>
    <w:rsid w:val="00D754C1"/>
    <w:rsid w:val="00E07F0E"/>
    <w:rsid w:val="00E35429"/>
    <w:rsid w:val="00E43E8D"/>
    <w:rsid w:val="00E4457A"/>
    <w:rsid w:val="00E57EEE"/>
    <w:rsid w:val="00E975DC"/>
    <w:rsid w:val="00EA291F"/>
    <w:rsid w:val="00EF0211"/>
    <w:rsid w:val="00EF17E2"/>
    <w:rsid w:val="00F25688"/>
    <w:rsid w:val="00F455C0"/>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AED"/>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 w:type="paragraph" w:styleId="Revision">
    <w:name w:val="Revision"/>
    <w:hidden/>
    <w:uiPriority w:val="99"/>
    <w:semiHidden/>
    <w:rsid w:val="001777D6"/>
    <w:pPr>
      <w:spacing w:after="0" w:line="240" w:lineRule="auto"/>
    </w:pPr>
  </w:style>
  <w:style w:type="paragraph" w:customStyle="1" w:styleId="Indent1">
    <w:name w:val="Indent 1"/>
    <w:basedOn w:val="BodyText"/>
    <w:qFormat/>
    <w:rsid w:val="00D12F25"/>
    <w:pPr>
      <w:spacing w:before="240" w:after="0" w:line="240" w:lineRule="auto"/>
      <w:ind w:left="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7</cp:revision>
  <cp:lastPrinted>2018-07-11T21:50:00Z</cp:lastPrinted>
  <dcterms:created xsi:type="dcterms:W3CDTF">2021-11-16T23:43:00Z</dcterms:created>
  <dcterms:modified xsi:type="dcterms:W3CDTF">2022-03-18T15:42:00Z</dcterms:modified>
</cp:coreProperties>
</file>