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1A" w:rsidRDefault="00D30FEC">
      <w:pPr>
        <w:pStyle w:val="PlainText"/>
        <w:jc w:val="right"/>
        <w:rPr>
          <w:rFonts w:ascii="Times New Roman" w:eastAsia="MS Mincho" w:hAnsi="Times New Roman" w:cs="Times New Roman"/>
          <w:vanish/>
        </w:rPr>
      </w:pPr>
      <w:bookmarkStart w:id="0" w:name="_GoBack"/>
      <w:bookmarkEnd w:id="0"/>
      <w:r>
        <w:rPr>
          <w:rFonts w:ascii="Times New Roman" w:eastAsia="MS Mincho" w:hAnsi="Times New Roman" w:cs="Times New Roman"/>
          <w:vanish/>
        </w:rPr>
        <w:t>0</w:t>
      </w:r>
      <w:r w:rsidR="00280A4F">
        <w:rPr>
          <w:rFonts w:ascii="Times New Roman" w:eastAsia="MS Mincho" w:hAnsi="Times New Roman" w:cs="Times New Roman"/>
          <w:vanish/>
        </w:rPr>
        <w:t>8</w:t>
      </w:r>
      <w:r w:rsidR="002A0F75">
        <w:rPr>
          <w:rFonts w:ascii="Times New Roman" w:eastAsia="MS Mincho" w:hAnsi="Times New Roman" w:cs="Times New Roman"/>
          <w:vanish/>
        </w:rPr>
        <w:t>/</w:t>
      </w:r>
      <w:r w:rsidR="00F87A2C">
        <w:rPr>
          <w:rFonts w:ascii="Times New Roman" w:eastAsia="MS Mincho" w:hAnsi="Times New Roman" w:cs="Times New Roman"/>
          <w:vanish/>
        </w:rPr>
        <w:t>26</w:t>
      </w:r>
      <w:r w:rsidR="004670DA">
        <w:rPr>
          <w:rFonts w:ascii="Times New Roman" w:eastAsia="MS Mincho" w:hAnsi="Times New Roman" w:cs="Times New Roman"/>
          <w:vanish/>
        </w:rPr>
        <w:t>/</w:t>
      </w:r>
      <w:r w:rsidR="00860F9A">
        <w:rPr>
          <w:rFonts w:ascii="Times New Roman" w:eastAsia="MS Mincho" w:hAnsi="Times New Roman" w:cs="Times New Roman"/>
          <w:vanish/>
        </w:rPr>
        <w:t>201</w:t>
      </w:r>
      <w:r w:rsidR="00F87A2C">
        <w:rPr>
          <w:rFonts w:ascii="Times New Roman" w:eastAsia="MS Mincho" w:hAnsi="Times New Roman" w:cs="Times New Roman"/>
          <w:vanish/>
        </w:rPr>
        <w:t>6</w:t>
      </w:r>
    </w:p>
    <w:p w:rsidR="00D0021A" w:rsidRDefault="00D0021A">
      <w:pPr>
        <w:pStyle w:val="PlainText"/>
        <w:jc w:val="right"/>
        <w:rPr>
          <w:rFonts w:ascii="Times New Roman" w:eastAsia="MS Mincho" w:hAnsi="Times New Roman" w:cs="Times New Roman"/>
          <w:vanish/>
        </w:rPr>
      </w:pPr>
      <w:r>
        <w:rPr>
          <w:rFonts w:ascii="Times New Roman" w:eastAsia="MS Mincho" w:hAnsi="Times New Roman" w:cs="Times New Roman"/>
          <w:vanish/>
        </w:rPr>
        <w:t>S705-</w:t>
      </w:r>
      <w:r w:rsidR="00D30FEC">
        <w:rPr>
          <w:rFonts w:ascii="Times New Roman" w:eastAsia="MS Mincho" w:hAnsi="Times New Roman" w:cs="Times New Roman"/>
          <w:vanish/>
        </w:rPr>
        <w:t>14</w:t>
      </w:r>
      <w:r w:rsidR="00F87A2C">
        <w:rPr>
          <w:rFonts w:ascii="Times New Roman" w:eastAsia="MS Mincho" w:hAnsi="Times New Roman" w:cs="Times New Roman"/>
          <w:vanish/>
        </w:rPr>
        <w:t>_08262016</w:t>
      </w:r>
      <w:r>
        <w:rPr>
          <w:rFonts w:ascii="Times New Roman" w:eastAsia="MS Mincho" w:hAnsi="Times New Roman" w:cs="Times New Roman"/>
          <w:vanish/>
        </w:rPr>
        <w:t>.doc</w:t>
      </w:r>
      <w:r w:rsidR="00581F2C">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D0021A" w:rsidTr="00692EEB">
        <w:trPr>
          <w:hidden/>
        </w:trPr>
        <w:tc>
          <w:tcPr>
            <w:tcW w:w="9576" w:type="dxa"/>
          </w:tcPr>
          <w:p w:rsidR="00D0021A" w:rsidRDefault="00D0021A">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as appropriate.</w:t>
            </w:r>
          </w:p>
        </w:tc>
      </w:tr>
    </w:tbl>
    <w:p w:rsidR="00692EEB" w:rsidRPr="003A33E2" w:rsidRDefault="00692EEB" w:rsidP="00692EEB">
      <w:pPr>
        <w:pStyle w:val="Heading2"/>
      </w:pPr>
      <w:bookmarkStart w:id="1" w:name="_Toc35158976"/>
      <w:bookmarkStart w:id="2" w:name="_Toc334092676"/>
      <w:bookmarkStart w:id="3" w:name="_Toc359919085"/>
      <w:bookmarkStart w:id="4" w:name="_Toc382981422"/>
      <w:proofErr w:type="gramStart"/>
      <w:r w:rsidRPr="003A33E2">
        <w:t>Section 705.</w:t>
      </w:r>
      <w:proofErr w:type="gramEnd"/>
      <w:r w:rsidRPr="003A33E2">
        <w:t xml:space="preserve"> — ROCK</w:t>
      </w:r>
      <w:bookmarkEnd w:id="1"/>
      <w:bookmarkEnd w:id="2"/>
      <w:bookmarkEnd w:id="3"/>
      <w:bookmarkEnd w:id="4"/>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37AC3" w:rsidTr="0032651D">
        <w:trPr>
          <w:hidden/>
        </w:trPr>
        <w:tc>
          <w:tcPr>
            <w:tcW w:w="9576" w:type="dxa"/>
          </w:tcPr>
          <w:p w:rsidR="00837AC3" w:rsidRDefault="00837AC3" w:rsidP="00837AC3">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gabions or revet mattresses</w:t>
            </w:r>
          </w:p>
        </w:tc>
      </w:tr>
    </w:tbl>
    <w:p w:rsidR="00D0021A" w:rsidRDefault="00D0021A" w:rsidP="00692EEB">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705.01  Gabion</w:t>
      </w:r>
      <w:proofErr w:type="gramEnd"/>
      <w:r>
        <w:rPr>
          <w:rFonts w:ascii="Times New Roman" w:eastAsia="MS Mincho" w:hAnsi="Times New Roman" w:cs="Times New Roman"/>
          <w:b/>
          <w:bCs/>
          <w:sz w:val="24"/>
        </w:rPr>
        <w:t xml:space="preserve"> and </w:t>
      </w:r>
      <w:proofErr w:type="spellStart"/>
      <w:r>
        <w:rPr>
          <w:rFonts w:ascii="Times New Roman" w:eastAsia="MS Mincho" w:hAnsi="Times New Roman" w:cs="Times New Roman"/>
          <w:b/>
          <w:bCs/>
          <w:sz w:val="24"/>
        </w:rPr>
        <w:t>Revet</w:t>
      </w:r>
      <w:proofErr w:type="spellEnd"/>
      <w:r>
        <w:rPr>
          <w:rFonts w:ascii="Times New Roman" w:eastAsia="MS Mincho" w:hAnsi="Times New Roman" w:cs="Times New Roman"/>
          <w:b/>
          <w:bCs/>
          <w:sz w:val="24"/>
        </w:rPr>
        <w:t xml:space="preserve"> Mattress Rock.  </w:t>
      </w:r>
      <w:r w:rsidR="005E55E1">
        <w:rPr>
          <w:rFonts w:ascii="Times New Roman" w:eastAsia="MS Mincho" w:hAnsi="Times New Roman" w:cs="Times New Roman"/>
          <w:sz w:val="24"/>
          <w:u w:val="single"/>
        </w:rPr>
        <w:t>Delete</w:t>
      </w:r>
      <w:r>
        <w:rPr>
          <w:rFonts w:ascii="Times New Roman" w:eastAsia="MS Mincho" w:hAnsi="Times New Roman" w:cs="Times New Roman"/>
          <w:sz w:val="24"/>
          <w:u w:val="single"/>
        </w:rPr>
        <w:t xml:space="preserve"> the following:</w:t>
      </w:r>
    </w:p>
    <w:p w:rsidR="00D0021A" w:rsidRDefault="00D0021A" w:rsidP="00692EEB">
      <w:pPr>
        <w:pStyle w:val="PlainText"/>
        <w:tabs>
          <w:tab w:val="left" w:pos="6480"/>
        </w:tabs>
        <w:spacing w:after="240"/>
        <w:ind w:left="360"/>
        <w:rPr>
          <w:rFonts w:ascii="Times New Roman" w:eastAsia="MS Mincho" w:hAnsi="Times New Roman" w:cs="Times New Roman"/>
          <w:sz w:val="24"/>
        </w:rPr>
      </w:pPr>
      <w:r>
        <w:rPr>
          <w:rFonts w:ascii="Times New Roman" w:eastAsia="MS Mincho" w:hAnsi="Times New Roman" w:cs="Times New Roman"/>
          <w:b/>
          <w:bCs/>
          <w:sz w:val="24"/>
        </w:rPr>
        <w:t>(</w:t>
      </w:r>
      <w:r w:rsidR="005E55E1">
        <w:rPr>
          <w:rFonts w:ascii="Times New Roman" w:eastAsia="MS Mincho" w:hAnsi="Times New Roman" w:cs="Times New Roman"/>
          <w:b/>
          <w:bCs/>
          <w:sz w:val="24"/>
        </w:rPr>
        <w:t>a</w:t>
      </w:r>
      <w:r>
        <w:rPr>
          <w:rFonts w:ascii="Times New Roman" w:eastAsia="MS Mincho" w:hAnsi="Times New Roman" w:cs="Times New Roman"/>
          <w:b/>
          <w:bCs/>
          <w:sz w:val="24"/>
        </w:rPr>
        <w:t>)</w:t>
      </w:r>
      <w:r>
        <w:rPr>
          <w:rFonts w:ascii="Times New Roman" w:eastAsia="MS Mincho" w:hAnsi="Times New Roman" w:cs="Times New Roman"/>
          <w:sz w:val="24"/>
        </w:rPr>
        <w:t xml:space="preserve"> </w:t>
      </w:r>
      <w:r w:rsidR="005E55E1">
        <w:rPr>
          <w:rFonts w:ascii="Times New Roman" w:eastAsia="MS Mincho" w:hAnsi="Times New Roman" w:cs="Times New Roman"/>
          <w:sz w:val="24"/>
        </w:rPr>
        <w:t xml:space="preserve">Coarse durability index, </w:t>
      </w:r>
      <w:r>
        <w:rPr>
          <w:rFonts w:ascii="Times New Roman" w:eastAsia="MS Mincho" w:hAnsi="Times New Roman" w:cs="Times New Roman"/>
          <w:sz w:val="24"/>
        </w:rPr>
        <w:t xml:space="preserve">AASHTO T </w:t>
      </w:r>
      <w:r w:rsidR="005E55E1">
        <w:rPr>
          <w:rFonts w:ascii="Times New Roman" w:eastAsia="MS Mincho" w:hAnsi="Times New Roman" w:cs="Times New Roman"/>
          <w:sz w:val="24"/>
        </w:rPr>
        <w:t>210</w:t>
      </w:r>
      <w:r>
        <w:rPr>
          <w:rFonts w:ascii="Times New Roman" w:eastAsia="MS Mincho" w:hAnsi="Times New Roman" w:cs="Times New Roman"/>
          <w:sz w:val="24"/>
        </w:rPr>
        <w:tab/>
        <w:t>50 m</w:t>
      </w:r>
      <w:r w:rsidR="005E55E1">
        <w:rPr>
          <w:rFonts w:ascii="Times New Roman" w:eastAsia="MS Mincho" w:hAnsi="Times New Roman" w:cs="Times New Roman"/>
          <w:sz w:val="24"/>
        </w:rPr>
        <w:t>in</w:t>
      </w:r>
      <w:r>
        <w:rPr>
          <w:rFonts w:ascii="Times New Roman" w:eastAsia="MS Mincho" w:hAnsi="Times New Roman" w:cs="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37AC3" w:rsidTr="0032651D">
        <w:trPr>
          <w:hidden/>
        </w:trPr>
        <w:tc>
          <w:tcPr>
            <w:tcW w:w="9576" w:type="dxa"/>
          </w:tcPr>
          <w:p w:rsidR="00837AC3" w:rsidRDefault="00837AC3" w:rsidP="00837AC3">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with rockeries</w:t>
            </w:r>
          </w:p>
        </w:tc>
      </w:tr>
    </w:tbl>
    <w:p w:rsidR="00641A92" w:rsidRDefault="00641A92" w:rsidP="00692EEB">
      <w:pPr>
        <w:spacing w:after="240"/>
        <w:rPr>
          <w:u w:val="single"/>
        </w:rPr>
      </w:pPr>
      <w:proofErr w:type="gramStart"/>
      <w:r>
        <w:rPr>
          <w:b/>
        </w:rPr>
        <w:t>705.0</w:t>
      </w:r>
      <w:r w:rsidR="00F87A2C">
        <w:rPr>
          <w:b/>
        </w:rPr>
        <w:t>6</w:t>
      </w:r>
      <w:r>
        <w:rPr>
          <w:b/>
        </w:rPr>
        <w:t xml:space="preserve">  Rock</w:t>
      </w:r>
      <w:proofErr w:type="gramEnd"/>
      <w:r>
        <w:rPr>
          <w:b/>
        </w:rPr>
        <w:t xml:space="preserve"> for Rockeries. </w:t>
      </w:r>
      <w:r w:rsidRPr="00641A92">
        <w:rPr>
          <w:u w:val="single"/>
        </w:rPr>
        <w:t xml:space="preserve"> </w:t>
      </w:r>
      <w:r w:rsidR="005E55E1">
        <w:rPr>
          <w:u w:val="single"/>
        </w:rPr>
        <w:t>Delete</w:t>
      </w:r>
      <w:r w:rsidRPr="00DE7774">
        <w:rPr>
          <w:u w:val="single"/>
        </w:rPr>
        <w:t xml:space="preserve"> the following:</w:t>
      </w:r>
    </w:p>
    <w:p w:rsidR="00641A92" w:rsidRDefault="00641A92" w:rsidP="00692EEB">
      <w:pPr>
        <w:tabs>
          <w:tab w:val="left" w:pos="6480"/>
        </w:tabs>
        <w:spacing w:after="240"/>
        <w:ind w:left="360"/>
      </w:pPr>
      <w:r>
        <w:rPr>
          <w:b/>
        </w:rPr>
        <w:t>(</w:t>
      </w:r>
      <w:r w:rsidR="005E55E1">
        <w:rPr>
          <w:b/>
        </w:rPr>
        <w:t>d</w:t>
      </w:r>
      <w:r>
        <w:rPr>
          <w:b/>
        </w:rPr>
        <w:t xml:space="preserve">) </w:t>
      </w:r>
      <w:r w:rsidR="005E55E1" w:rsidRPr="005E55E1">
        <w:t>Coarse durability i</w:t>
      </w:r>
      <w:r w:rsidR="005E55E1">
        <w:t>ndex, AASHTO T 210</w:t>
      </w:r>
      <w:r w:rsidR="006E1DA3">
        <w:tab/>
        <w:t>52 min.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37AC3" w:rsidTr="0032651D">
        <w:trPr>
          <w:hidden/>
        </w:trPr>
        <w:tc>
          <w:tcPr>
            <w:tcW w:w="9576" w:type="dxa"/>
          </w:tcPr>
          <w:p w:rsidR="00837AC3" w:rsidRDefault="00837AC3" w:rsidP="0032651D">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with MSE walls or reinforced soil slopes.</w:t>
            </w:r>
          </w:p>
        </w:tc>
      </w:tr>
    </w:tbl>
    <w:p w:rsidR="00837AC3" w:rsidRPr="00837AC3" w:rsidRDefault="00837AC3" w:rsidP="00CB797A">
      <w:pPr>
        <w:spacing w:after="240"/>
        <w:rPr>
          <w:bCs/>
          <w:u w:val="single"/>
        </w:rPr>
      </w:pPr>
      <w:r w:rsidRPr="00837AC3">
        <w:rPr>
          <w:bCs/>
          <w:u w:val="single"/>
        </w:rPr>
        <w:t>Add the following:</w:t>
      </w:r>
    </w:p>
    <w:p w:rsidR="007E2AB5" w:rsidRDefault="007E2AB5" w:rsidP="00CB797A">
      <w:pPr>
        <w:spacing w:after="240"/>
      </w:pPr>
      <w:r>
        <w:rPr>
          <w:b/>
          <w:bCs/>
        </w:rPr>
        <w:t xml:space="preserve">705.08 Wall </w:t>
      </w:r>
      <w:r w:rsidR="003D0EEB">
        <w:rPr>
          <w:b/>
          <w:bCs/>
        </w:rPr>
        <w:t>F</w:t>
      </w:r>
      <w:r>
        <w:rPr>
          <w:b/>
          <w:bCs/>
        </w:rPr>
        <w:t xml:space="preserve">acing </w:t>
      </w:r>
      <w:r w:rsidR="003D0EEB">
        <w:rPr>
          <w:b/>
          <w:bCs/>
        </w:rPr>
        <w:t>F</w:t>
      </w:r>
      <w:r>
        <w:rPr>
          <w:b/>
          <w:bCs/>
        </w:rPr>
        <w:t>ill</w:t>
      </w:r>
      <w:r>
        <w:t>.  Furnish hard, durable, angular rock that is free of organic or other unsuitable material. Angular rock is characterized by sharp, clean edges at the intersections of relatively flat surfaces. Do not use shale, rock with shale seams, or other fissile or fissured rock that may break into smaller pieces in the process of handling and placing. Conform to the following:</w:t>
      </w:r>
    </w:p>
    <w:p w:rsidR="007E2AB5" w:rsidRDefault="007E2AB5" w:rsidP="00CB797A">
      <w:pPr>
        <w:spacing w:after="240"/>
        <w:ind w:left="360"/>
      </w:pPr>
      <w:r w:rsidRPr="007E2AB5">
        <w:rPr>
          <w:b/>
          <w:iCs/>
        </w:rPr>
        <w:t>(a)</w:t>
      </w:r>
      <w:r>
        <w:t xml:space="preserve"> Gradation. Furnish rock with breadth and thickness at least one-third its length with a 6 in (150 mm) maximum dimension. Ensure that 95 percent of wall facing fill particles minimum dimension exceeds welded wire facing opening with remaining 5 percent exceeding one-half welded wire facing opening. </w:t>
      </w:r>
    </w:p>
    <w:p w:rsidR="007E2AB5" w:rsidRDefault="007E2AB5" w:rsidP="00CB797A">
      <w:pPr>
        <w:tabs>
          <w:tab w:val="left" w:pos="6480"/>
        </w:tabs>
        <w:ind w:left="360"/>
      </w:pPr>
      <w:r w:rsidRPr="007E2AB5">
        <w:rPr>
          <w:b/>
          <w:iCs/>
        </w:rPr>
        <w:t>(b)</w:t>
      </w:r>
      <w:r>
        <w:t xml:space="preserve"> Soundness of aggregate using sodium sulfate,</w:t>
      </w:r>
      <w:r w:rsidR="00280A4F">
        <w:tab/>
      </w:r>
      <w:r>
        <w:t>15% loss max.</w:t>
      </w:r>
    </w:p>
    <w:p w:rsidR="007E2AB5" w:rsidRPr="007E2AB5" w:rsidRDefault="007E2AB5" w:rsidP="00CB797A">
      <w:pPr>
        <w:spacing w:after="240"/>
        <w:ind w:left="360"/>
      </w:pPr>
      <w:r w:rsidRPr="007E2AB5">
        <w:rPr>
          <w:iCs/>
        </w:rPr>
        <w:t>AASHTO T 104 (5 cycles)</w:t>
      </w:r>
    </w:p>
    <w:p w:rsidR="007E2AB5" w:rsidRDefault="007E2AB5" w:rsidP="00CB797A">
      <w:pPr>
        <w:tabs>
          <w:tab w:val="left" w:pos="6480"/>
        </w:tabs>
        <w:spacing w:after="240"/>
        <w:ind w:left="360"/>
        <w:rPr>
          <w:lang w:val="fr-FR"/>
        </w:rPr>
      </w:pPr>
      <w:r w:rsidRPr="007E2AB5">
        <w:rPr>
          <w:b/>
          <w:iCs/>
          <w:lang w:val="fr-FR"/>
        </w:rPr>
        <w:t>(c)</w:t>
      </w:r>
      <w:r>
        <w:rPr>
          <w:lang w:val="fr-FR"/>
        </w:rPr>
        <w:t xml:space="preserve"> Los Angeles abrasion, AASHTO T 96</w:t>
      </w:r>
      <w:r w:rsidR="00280A4F">
        <w:rPr>
          <w:lang w:val="fr-FR"/>
        </w:rPr>
        <w:tab/>
      </w:r>
      <w:r>
        <w:rPr>
          <w:lang w:val="fr-FR"/>
        </w:rPr>
        <w:t>50% max.</w:t>
      </w:r>
    </w:p>
    <w:sectPr w:rsidR="007E2AB5">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BA"/>
    <w:rsid w:val="000001BA"/>
    <w:rsid w:val="001E5A8E"/>
    <w:rsid w:val="00205E2F"/>
    <w:rsid w:val="00280A4F"/>
    <w:rsid w:val="002A0F75"/>
    <w:rsid w:val="003D0EEB"/>
    <w:rsid w:val="004670DA"/>
    <w:rsid w:val="004C3FF6"/>
    <w:rsid w:val="00581F2C"/>
    <w:rsid w:val="005E55E1"/>
    <w:rsid w:val="00641A92"/>
    <w:rsid w:val="006728E4"/>
    <w:rsid w:val="00692EEB"/>
    <w:rsid w:val="006E1DA3"/>
    <w:rsid w:val="007E2AB5"/>
    <w:rsid w:val="00837AC3"/>
    <w:rsid w:val="00860F9A"/>
    <w:rsid w:val="009F2BB9"/>
    <w:rsid w:val="009F5075"/>
    <w:rsid w:val="00CB797A"/>
    <w:rsid w:val="00D0021A"/>
    <w:rsid w:val="00D30FEC"/>
    <w:rsid w:val="00DE4489"/>
    <w:rsid w:val="00F87A2C"/>
    <w:rsid w:val="00FA2E13"/>
    <w:rsid w:val="00FE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92EEB"/>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692EEB"/>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customStyle="1" w:styleId="Heading2Char">
    <w:name w:val="Heading 2 Char"/>
    <w:link w:val="Heading2"/>
    <w:rsid w:val="00692EEB"/>
    <w:rPr>
      <w:b/>
      <w:sz w:val="28"/>
      <w:szCs w:val="28"/>
    </w:rPr>
  </w:style>
  <w:style w:type="character" w:customStyle="1" w:styleId="Heading1Char">
    <w:name w:val="Heading 1 Char"/>
    <w:link w:val="Heading1"/>
    <w:rsid w:val="00692EEB"/>
    <w:rPr>
      <w:rFonts w:ascii="Cambria" w:eastAsia="Times New Roman" w:hAnsi="Cambria" w:cs="Times New Roman"/>
      <w:b/>
      <w:bCs/>
      <w:kern w:val="32"/>
      <w:sz w:val="32"/>
      <w:szCs w:val="32"/>
    </w:rPr>
  </w:style>
  <w:style w:type="character" w:styleId="CommentReference">
    <w:name w:val="annotation reference"/>
    <w:basedOn w:val="DefaultParagraphFont"/>
    <w:rsid w:val="00581F2C"/>
    <w:rPr>
      <w:sz w:val="16"/>
      <w:szCs w:val="16"/>
    </w:rPr>
  </w:style>
  <w:style w:type="paragraph" w:styleId="CommentText">
    <w:name w:val="annotation text"/>
    <w:basedOn w:val="Normal"/>
    <w:link w:val="CommentTextChar"/>
    <w:rsid w:val="00581F2C"/>
    <w:rPr>
      <w:sz w:val="20"/>
      <w:szCs w:val="20"/>
    </w:rPr>
  </w:style>
  <w:style w:type="character" w:customStyle="1" w:styleId="CommentTextChar">
    <w:name w:val="Comment Text Char"/>
    <w:basedOn w:val="DefaultParagraphFont"/>
    <w:link w:val="CommentText"/>
    <w:rsid w:val="00581F2C"/>
  </w:style>
  <w:style w:type="paragraph" w:styleId="CommentSubject">
    <w:name w:val="annotation subject"/>
    <w:basedOn w:val="CommentText"/>
    <w:next w:val="CommentText"/>
    <w:link w:val="CommentSubjectChar"/>
    <w:rsid w:val="00581F2C"/>
    <w:rPr>
      <w:b/>
      <w:bCs/>
    </w:rPr>
  </w:style>
  <w:style w:type="character" w:customStyle="1" w:styleId="CommentSubjectChar">
    <w:name w:val="Comment Subject Char"/>
    <w:basedOn w:val="CommentTextChar"/>
    <w:link w:val="CommentSubject"/>
    <w:rsid w:val="00581F2C"/>
    <w:rPr>
      <w:b/>
      <w:bCs/>
    </w:rPr>
  </w:style>
  <w:style w:type="paragraph" w:styleId="BalloonText">
    <w:name w:val="Balloon Text"/>
    <w:basedOn w:val="Normal"/>
    <w:link w:val="BalloonTextChar"/>
    <w:rsid w:val="00581F2C"/>
    <w:rPr>
      <w:rFonts w:ascii="Tahoma" w:hAnsi="Tahoma" w:cs="Tahoma"/>
      <w:sz w:val="16"/>
      <w:szCs w:val="16"/>
    </w:rPr>
  </w:style>
  <w:style w:type="character" w:customStyle="1" w:styleId="BalloonTextChar">
    <w:name w:val="Balloon Text Char"/>
    <w:basedOn w:val="DefaultParagraphFont"/>
    <w:link w:val="BalloonText"/>
    <w:rsid w:val="00581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92EEB"/>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692EEB"/>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customStyle="1" w:styleId="Heading2Char">
    <w:name w:val="Heading 2 Char"/>
    <w:link w:val="Heading2"/>
    <w:rsid w:val="00692EEB"/>
    <w:rPr>
      <w:b/>
      <w:sz w:val="28"/>
      <w:szCs w:val="28"/>
    </w:rPr>
  </w:style>
  <w:style w:type="character" w:customStyle="1" w:styleId="Heading1Char">
    <w:name w:val="Heading 1 Char"/>
    <w:link w:val="Heading1"/>
    <w:rsid w:val="00692EEB"/>
    <w:rPr>
      <w:rFonts w:ascii="Cambria" w:eastAsia="Times New Roman" w:hAnsi="Cambria" w:cs="Times New Roman"/>
      <w:b/>
      <w:bCs/>
      <w:kern w:val="32"/>
      <w:sz w:val="32"/>
      <w:szCs w:val="32"/>
    </w:rPr>
  </w:style>
  <w:style w:type="character" w:styleId="CommentReference">
    <w:name w:val="annotation reference"/>
    <w:basedOn w:val="DefaultParagraphFont"/>
    <w:rsid w:val="00581F2C"/>
    <w:rPr>
      <w:sz w:val="16"/>
      <w:szCs w:val="16"/>
    </w:rPr>
  </w:style>
  <w:style w:type="paragraph" w:styleId="CommentText">
    <w:name w:val="annotation text"/>
    <w:basedOn w:val="Normal"/>
    <w:link w:val="CommentTextChar"/>
    <w:rsid w:val="00581F2C"/>
    <w:rPr>
      <w:sz w:val="20"/>
      <w:szCs w:val="20"/>
    </w:rPr>
  </w:style>
  <w:style w:type="character" w:customStyle="1" w:styleId="CommentTextChar">
    <w:name w:val="Comment Text Char"/>
    <w:basedOn w:val="DefaultParagraphFont"/>
    <w:link w:val="CommentText"/>
    <w:rsid w:val="00581F2C"/>
  </w:style>
  <w:style w:type="paragraph" w:styleId="CommentSubject">
    <w:name w:val="annotation subject"/>
    <w:basedOn w:val="CommentText"/>
    <w:next w:val="CommentText"/>
    <w:link w:val="CommentSubjectChar"/>
    <w:rsid w:val="00581F2C"/>
    <w:rPr>
      <w:b/>
      <w:bCs/>
    </w:rPr>
  </w:style>
  <w:style w:type="character" w:customStyle="1" w:styleId="CommentSubjectChar">
    <w:name w:val="Comment Subject Char"/>
    <w:basedOn w:val="CommentTextChar"/>
    <w:link w:val="CommentSubject"/>
    <w:rsid w:val="00581F2C"/>
    <w:rPr>
      <w:b/>
      <w:bCs/>
    </w:rPr>
  </w:style>
  <w:style w:type="paragraph" w:styleId="BalloonText">
    <w:name w:val="Balloon Text"/>
    <w:basedOn w:val="Normal"/>
    <w:link w:val="BalloonTextChar"/>
    <w:rsid w:val="00581F2C"/>
    <w:rPr>
      <w:rFonts w:ascii="Tahoma" w:hAnsi="Tahoma" w:cs="Tahoma"/>
      <w:sz w:val="16"/>
      <w:szCs w:val="16"/>
    </w:rPr>
  </w:style>
  <w:style w:type="character" w:customStyle="1" w:styleId="BalloonTextChar">
    <w:name w:val="Balloon Text Char"/>
    <w:basedOn w:val="DefaultParagraphFont"/>
    <w:link w:val="BalloonText"/>
    <w:rsid w:val="00581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705</vt:lpstr>
    </vt:vector>
  </TitlesOfParts>
  <Company>Central Federal Lands Highway Division</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705</dc:title>
  <dc:creator>andreser</dc:creator>
  <cp:lastModifiedBy>Michael.Peabody</cp:lastModifiedBy>
  <cp:revision>2</cp:revision>
  <cp:lastPrinted>2014-07-17T17:00:00Z</cp:lastPrinted>
  <dcterms:created xsi:type="dcterms:W3CDTF">2016-08-26T16:05:00Z</dcterms:created>
  <dcterms:modified xsi:type="dcterms:W3CDTF">2016-08-26T16:05:00Z</dcterms:modified>
</cp:coreProperties>
</file>