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FE" w:rsidRDefault="00E101FE" w:rsidP="00E101FE">
      <w:pPr>
        <w:pStyle w:val="Heading2"/>
        <w:pageBreakBefore w:val="0"/>
      </w:pPr>
      <w:bookmarkStart w:id="0" w:name="_Toc5952996"/>
      <w:bookmarkStart w:id="1" w:name="Division400"/>
      <w:r>
        <w:t>S</w:t>
      </w:r>
      <w:bookmarkStart w:id="2" w:name="_GoBack"/>
      <w:bookmarkEnd w:id="2"/>
      <w:r>
        <w:t xml:space="preserve">ection 401. — </w:t>
      </w:r>
      <w:r w:rsidRPr="00585128">
        <w:rPr>
          <w:rStyle w:val="SectionName"/>
        </w:rPr>
        <w:t>A</w:t>
      </w:r>
      <w:r w:rsidR="003463A3">
        <w:rPr>
          <w:rStyle w:val="SectionName"/>
        </w:rPr>
        <w:t>SPHALT CONCRETE PAVEMENT BY GYRATORY MIX DES</w:t>
      </w:r>
      <w:r w:rsidR="003208F4">
        <w:rPr>
          <w:rStyle w:val="SectionName"/>
        </w:rPr>
        <w:t>I</w:t>
      </w:r>
      <w:r w:rsidR="003463A3">
        <w:rPr>
          <w:rStyle w:val="SectionName"/>
        </w:rPr>
        <w:t>GN METHOD</w:t>
      </w:r>
      <w:bookmarkEnd w:id="0"/>
    </w:p>
    <w:p w:rsidR="00E101FE" w:rsidRDefault="00E101FE" w:rsidP="00E101FE">
      <w:pPr>
        <w:pStyle w:val="Revisiondate"/>
      </w:pPr>
      <w:r>
        <w:t>03/25/19–FP14</w:t>
      </w:r>
    </w:p>
    <w:p w:rsidR="00E101FE" w:rsidRPr="00AE2AB2" w:rsidRDefault="00E101FE" w:rsidP="00E101FE">
      <w:pPr>
        <w:pStyle w:val="Directions"/>
        <w:rPr>
          <w:rStyle w:val="DirectionsInfo"/>
        </w:rPr>
      </w:pPr>
      <w:r w:rsidRPr="00AE2AB2">
        <w:rPr>
          <w:rStyle w:val="DirectionsInfo"/>
        </w:rPr>
        <w:t>FLH Transmittal No. 1</w:t>
      </w:r>
      <w:r w:rsidR="00A54203">
        <w:rPr>
          <w:rStyle w:val="DirectionsInfo"/>
        </w:rPr>
        <w:tab/>
        <w:t>4010010</w:t>
      </w:r>
    </w:p>
    <w:p w:rsidR="00E101FE" w:rsidRPr="00AE2AB2" w:rsidRDefault="00E101FE" w:rsidP="00E101FE">
      <w:pPr>
        <w:pStyle w:val="Directions"/>
        <w:rPr>
          <w:rStyle w:val="DirectionsInfo"/>
        </w:rPr>
      </w:pPr>
      <w:r w:rsidRPr="00AE2AB2">
        <w:rPr>
          <w:rStyle w:val="DirectionsInfo"/>
        </w:rPr>
        <w:t>WFL Specification 03/25/19</w:t>
      </w:r>
    </w:p>
    <w:p w:rsidR="00E101FE" w:rsidRDefault="00E101FE" w:rsidP="00E101FE">
      <w:pPr>
        <w:pStyle w:val="Directions"/>
      </w:pPr>
      <w:r>
        <w:t>Include the following when work is required for this Section.</w:t>
      </w:r>
    </w:p>
    <w:p w:rsidR="00E101FE" w:rsidRDefault="00E101FE" w:rsidP="00E101FE">
      <w:pPr>
        <w:pStyle w:val="Directions"/>
      </w:pPr>
      <w:r>
        <w:t>Coordinate with WFL Materials to determine asphalt binder grade.</w:t>
      </w:r>
    </w:p>
    <w:p w:rsidR="00322065" w:rsidRDefault="00322065" w:rsidP="00E101FE">
      <w:pPr>
        <w:pStyle w:val="Directions"/>
      </w:pPr>
      <w:r>
        <w:t>Note: Include SCR 703.07.</w:t>
      </w:r>
    </w:p>
    <w:p w:rsidR="00E101FE" w:rsidRDefault="00E101FE" w:rsidP="00E101FE">
      <w:pPr>
        <w:pStyle w:val="Subtitle"/>
      </w:pPr>
      <w:r w:rsidRPr="00585128">
        <w:t>Description</w:t>
      </w:r>
    </w:p>
    <w:p w:rsidR="00E101FE" w:rsidRPr="0044012A" w:rsidRDefault="00E101FE" w:rsidP="00E101FE">
      <w:pPr>
        <w:pStyle w:val="Heading3"/>
        <w:rPr>
          <w:vanish/>
          <w:specVanish/>
        </w:rPr>
      </w:pPr>
      <w:r>
        <w:t xml:space="preserve">401.01  </w:t>
      </w:r>
    </w:p>
    <w:p w:rsidR="00E101FE" w:rsidRDefault="00E101FE" w:rsidP="00E101FE">
      <w:pPr>
        <w:pStyle w:val="Instructions"/>
      </w:pPr>
      <w:r w:rsidRPr="00585128">
        <w:t xml:space="preserve">Delete the text of this </w:t>
      </w:r>
      <w:r>
        <w:t>Subsection</w:t>
      </w:r>
      <w:r w:rsidRPr="00585128">
        <w:t xml:space="preserve"> and substitute the following</w:t>
      </w:r>
      <w:r>
        <w:t>:</w:t>
      </w:r>
    </w:p>
    <w:p w:rsidR="00E101FE" w:rsidRDefault="00E101FE" w:rsidP="00E101FE">
      <w:pPr>
        <w:pStyle w:val="BodyText"/>
      </w:pPr>
      <w:r>
        <w:t xml:space="preserve">This work consists of constructing one or more courses of asphalt concrete pavement using hot or warm mix asphalt (HMA or WMA). </w:t>
      </w:r>
    </w:p>
    <w:p w:rsidR="00E101FE" w:rsidRDefault="00E101FE" w:rsidP="00E101FE">
      <w:pPr>
        <w:pStyle w:val="BodyText"/>
      </w:pPr>
      <w:r>
        <w:t>Asphalt concrete pavement nominal maximum size aggregate size is designated according to Tables 401-1 and 703-4. Equivalent single axle loads (ESAL) or number of gyrations at design (N</w:t>
      </w:r>
      <w:r w:rsidRPr="00585128">
        <w:rPr>
          <w:vertAlign w:val="subscript"/>
        </w:rPr>
        <w:t>Design</w:t>
      </w:r>
      <w:r>
        <w:t xml:space="preserve">) is designated according to Table 401-1. </w:t>
      </w:r>
    </w:p>
    <w:p w:rsidR="00E101FE" w:rsidRPr="00A93F68" w:rsidRDefault="00E101FE" w:rsidP="00E101FE">
      <w:pPr>
        <w:pStyle w:val="BodyText"/>
        <w:rPr>
          <w:spacing w:val="-2"/>
        </w:rPr>
      </w:pPr>
      <w:r w:rsidRPr="003A33E2">
        <w:t xml:space="preserve">Pavement roughness type is designated according to </w:t>
      </w:r>
      <w:r>
        <w:t>Subsection</w:t>
      </w:r>
      <w:r w:rsidRPr="003A33E2">
        <w:t xml:space="preserve"> 401.16. When no roughness type is designated use Type IV.</w:t>
      </w:r>
    </w:p>
    <w:p w:rsidR="00E101FE" w:rsidRDefault="00E101FE" w:rsidP="00E101FE">
      <w:pPr>
        <w:pStyle w:val="BodyText"/>
      </w:pPr>
      <w:r w:rsidRPr="003A33E2">
        <w:t>Asphalt binder is designated according to AASHTO M 320.</w:t>
      </w:r>
    </w:p>
    <w:p w:rsidR="00E101FE" w:rsidRDefault="00E101FE" w:rsidP="00E101FE">
      <w:pPr>
        <w:pStyle w:val="BodyText"/>
      </w:pPr>
      <w:r>
        <w:t xml:space="preserve">Asphalt binder grade for this project is </w:t>
      </w:r>
      <w:r w:rsidRPr="00544B58">
        <w:rPr>
          <w:highlight w:val="yellow"/>
        </w:rPr>
        <w:t>[INSERT GRADE]</w:t>
      </w:r>
      <w:r>
        <w:t>.</w:t>
      </w:r>
    </w:p>
    <w:p w:rsidR="00E101FE" w:rsidRDefault="00E101FE" w:rsidP="00E101FE">
      <w:pPr>
        <w:pStyle w:val="BodyText"/>
      </w:pPr>
      <w:r w:rsidRPr="00160E4C">
        <w:t xml:space="preserve">Antistrip additive type is designated according to </w:t>
      </w:r>
      <w:r>
        <w:t>Subsection</w:t>
      </w:r>
      <w:r w:rsidRPr="00160E4C">
        <w:t xml:space="preserve"> 702.05.</w:t>
      </w:r>
    </w:p>
    <w:p w:rsidR="00E101FE" w:rsidRPr="00BF43FA" w:rsidRDefault="00E101FE" w:rsidP="00E101FE">
      <w:pPr>
        <w:pStyle w:val="BodyText"/>
      </w:pPr>
      <w:r>
        <w:t xml:space="preserve">Use 1 percent type 3 (lime) in all mixes.  </w:t>
      </w:r>
      <w:r w:rsidRPr="00BF43FA">
        <w:t>Type 1 (liquid) antistrip may be used in lieu of type 3 (lime) antistrip</w:t>
      </w:r>
      <w:r>
        <w:t>,</w:t>
      </w:r>
      <w:r w:rsidRPr="00BF43FA">
        <w:t xml:space="preserve"> if additive is allowed for use by the state department of transportation</w:t>
      </w:r>
      <w:r>
        <w:t xml:space="preserve"> and meets the requirements </w:t>
      </w:r>
      <w:r w:rsidRPr="00BF43FA">
        <w:t xml:space="preserve">in </w:t>
      </w:r>
      <w:r>
        <w:t>Subsection</w:t>
      </w:r>
      <w:r w:rsidRPr="00BF43FA">
        <w:t xml:space="preserve"> 401.03.</w:t>
      </w:r>
    </w:p>
    <w:p w:rsidR="00E101FE" w:rsidRDefault="00E101FE" w:rsidP="00E101FE">
      <w:pPr>
        <w:pStyle w:val="Subtitle"/>
      </w:pPr>
      <w:r>
        <w:t>Construction Requirements</w:t>
      </w:r>
    </w:p>
    <w:p w:rsidR="00E101FE" w:rsidRPr="00585128" w:rsidRDefault="00E101FE" w:rsidP="00E101FE">
      <w:pPr>
        <w:pStyle w:val="Heading3"/>
        <w:rPr>
          <w:vanish/>
          <w:specVanish/>
        </w:rPr>
      </w:pPr>
      <w:r>
        <w:t xml:space="preserve">401.03 Composition of Mix (JMF).  </w:t>
      </w:r>
    </w:p>
    <w:p w:rsidR="00E101FE" w:rsidRDefault="00E101FE" w:rsidP="00E101FE">
      <w:pPr>
        <w:pStyle w:val="Instructions"/>
      </w:pPr>
      <w:r>
        <w:t>Add the following:</w:t>
      </w:r>
    </w:p>
    <w:p w:rsidR="00E101FE" w:rsidRDefault="00E101FE" w:rsidP="00E101FE">
      <w:pPr>
        <w:pStyle w:val="BodyText"/>
      </w:pPr>
      <w:r w:rsidRPr="0013773C">
        <w:t>Provide documentation that demonstrates that the proposed type 1 (liquid) antistrip is allowed for use by the state department of transportation within the past 12 months.  If type 1 (liquid) antistrip additive is included in the JMF, the minimum liquid antistrip additive is the minimum amount required to meet the design parameters in Table 401-1A.</w:t>
      </w:r>
    </w:p>
    <w:p w:rsidR="005611EA" w:rsidRPr="005611EA" w:rsidRDefault="000457B3" w:rsidP="000457B3">
      <w:pPr>
        <w:pStyle w:val="Caption"/>
      </w:pPr>
      <w:r>
        <w:lastRenderedPageBreak/>
        <w:t>T</w:t>
      </w:r>
      <w:r w:rsidR="005611EA" w:rsidRPr="005611EA">
        <w:t>able 401-1A</w:t>
      </w:r>
    </w:p>
    <w:p w:rsidR="005611EA" w:rsidRPr="005611EA" w:rsidRDefault="005611EA" w:rsidP="000457B3">
      <w:pPr>
        <w:pStyle w:val="Caption"/>
      </w:pPr>
      <w:r w:rsidRPr="005611EA">
        <w:t>Type 1 (liquid) Antistrip Requirements</w:t>
      </w:r>
    </w:p>
    <w:tbl>
      <w:tblPr>
        <w:tblStyle w:val="TableSCR1"/>
        <w:tblW w:w="0" w:type="auto"/>
        <w:tblLook w:val="04A0" w:firstRow="1" w:lastRow="0" w:firstColumn="1" w:lastColumn="0" w:noHBand="0" w:noVBand="1"/>
      </w:tblPr>
      <w:tblGrid>
        <w:gridCol w:w="6948"/>
        <w:gridCol w:w="1908"/>
      </w:tblGrid>
      <w:tr w:rsidR="005611EA" w:rsidRPr="005611EA" w:rsidTr="005611EA">
        <w:trPr>
          <w:cnfStyle w:val="100000000000" w:firstRow="1" w:lastRow="0" w:firstColumn="0" w:lastColumn="0" w:oddVBand="0" w:evenVBand="0" w:oddHBand="0" w:evenHBand="0" w:firstRowFirstColumn="0" w:firstRowLastColumn="0" w:lastRowFirstColumn="0" w:lastRowLastColumn="0"/>
        </w:trPr>
        <w:tc>
          <w:tcPr>
            <w:tcW w:w="6948" w:type="dxa"/>
            <w:hideMark/>
          </w:tcPr>
          <w:p w:rsidR="005611EA" w:rsidRPr="005611EA" w:rsidRDefault="005611EA" w:rsidP="000457B3">
            <w:r w:rsidRPr="005611EA">
              <w:t>Parameters</w:t>
            </w:r>
          </w:p>
        </w:tc>
        <w:tc>
          <w:tcPr>
            <w:tcW w:w="1908" w:type="dxa"/>
            <w:hideMark/>
          </w:tcPr>
          <w:p w:rsidR="005611EA" w:rsidRPr="005611EA" w:rsidRDefault="005611EA" w:rsidP="000457B3">
            <w:r w:rsidRPr="005611EA">
              <w:t>Value</w:t>
            </w:r>
          </w:p>
        </w:tc>
      </w:tr>
      <w:tr w:rsidR="005611EA" w:rsidRPr="005611EA" w:rsidTr="005611EA">
        <w:tc>
          <w:tcPr>
            <w:tcW w:w="6948" w:type="dxa"/>
          </w:tcPr>
          <w:p w:rsidR="005611EA" w:rsidRPr="005611EA" w:rsidRDefault="005611EA" w:rsidP="000457B3">
            <w:pPr>
              <w:keepNext/>
              <w:rPr>
                <w:vertAlign w:val="superscript"/>
              </w:rPr>
            </w:pPr>
            <w:r w:rsidRPr="005611EA">
              <w:t xml:space="preserve">Hamburg Wheel-Track Testing, AASHTO T 324 </w:t>
            </w:r>
            <w:r w:rsidRPr="005611EA">
              <w:rPr>
                <w:vertAlign w:val="superscript"/>
              </w:rPr>
              <w:t>(1)</w:t>
            </w:r>
          </w:p>
          <w:p w:rsidR="005611EA" w:rsidRPr="005611EA" w:rsidRDefault="005611EA" w:rsidP="000457B3">
            <w:pPr>
              <w:keepNext/>
            </w:pPr>
            <w:r w:rsidRPr="005611EA">
              <w:t>Rut Depth at 15,000 passes, max., mm</w:t>
            </w:r>
          </w:p>
          <w:p w:rsidR="005611EA" w:rsidRDefault="005611EA" w:rsidP="000457B3">
            <w:pPr>
              <w:keepNext/>
            </w:pPr>
            <w:r w:rsidRPr="005611EA">
              <w:t>Stripping Inflection Point</w:t>
            </w:r>
          </w:p>
          <w:p w:rsidR="000457B3" w:rsidRPr="005611EA" w:rsidRDefault="000457B3" w:rsidP="000457B3">
            <w:pPr>
              <w:keepNext/>
            </w:pPr>
          </w:p>
        </w:tc>
        <w:tc>
          <w:tcPr>
            <w:tcW w:w="1908" w:type="dxa"/>
          </w:tcPr>
          <w:p w:rsidR="005611EA" w:rsidRPr="005611EA" w:rsidRDefault="005611EA" w:rsidP="000457B3">
            <w:pPr>
              <w:keepNext/>
            </w:pPr>
          </w:p>
          <w:p w:rsidR="005611EA" w:rsidRPr="005611EA" w:rsidRDefault="005611EA" w:rsidP="000457B3">
            <w:pPr>
              <w:keepNext/>
            </w:pPr>
            <w:r w:rsidRPr="005611EA">
              <w:t>10</w:t>
            </w:r>
          </w:p>
          <w:p w:rsidR="005611EA" w:rsidRDefault="005611EA" w:rsidP="000457B3">
            <w:pPr>
              <w:keepNext/>
            </w:pPr>
            <w:r w:rsidRPr="005611EA">
              <w:t>None</w:t>
            </w:r>
          </w:p>
          <w:p w:rsidR="000457B3" w:rsidRPr="005611EA" w:rsidRDefault="000457B3" w:rsidP="000457B3">
            <w:pPr>
              <w:keepNext/>
              <w:rPr>
                <w:color w:val="FF0000"/>
              </w:rPr>
            </w:pPr>
          </w:p>
        </w:tc>
      </w:tr>
      <w:tr w:rsidR="005611EA" w:rsidRPr="005611EA" w:rsidTr="005611EA">
        <w:tc>
          <w:tcPr>
            <w:tcW w:w="8856" w:type="dxa"/>
            <w:gridSpan w:val="2"/>
            <w:hideMark/>
          </w:tcPr>
          <w:p w:rsidR="005611EA" w:rsidRPr="005611EA" w:rsidRDefault="005611EA" w:rsidP="000457B3">
            <w:r w:rsidRPr="005611EA">
              <w:rPr>
                <w:vertAlign w:val="superscript"/>
              </w:rPr>
              <w:t>(1)</w:t>
            </w:r>
            <w:r w:rsidRPr="005611EA">
              <w:rPr>
                <w:szCs w:val="22"/>
              </w:rPr>
              <w:t>Test all specimens at 45</w:t>
            </w:r>
            <w:r w:rsidRPr="005611EA">
              <w:rPr>
                <w:iCs/>
                <w:color w:val="000000"/>
                <w:szCs w:val="16"/>
              </w:rPr>
              <w:t>°</w:t>
            </w:r>
            <w:r w:rsidRPr="005611EA">
              <w:rPr>
                <w:szCs w:val="22"/>
              </w:rPr>
              <w:t>C.  Test all specimens to 20,000 passes.  Perform two tests at each additive rate and perform one set of control specimens with no additive.</w:t>
            </w:r>
          </w:p>
        </w:tc>
      </w:tr>
    </w:tbl>
    <w:p w:rsidR="0005488B" w:rsidRPr="0005488B" w:rsidRDefault="0005488B" w:rsidP="0005488B">
      <w:pPr>
        <w:pStyle w:val="Heading3"/>
        <w:rPr>
          <w:vanish/>
          <w:specVanish/>
        </w:rPr>
      </w:pPr>
      <w:r w:rsidRPr="0005488B">
        <w:t xml:space="preserve">401.03(c)(1) Aggregate and mineral filler.  </w:t>
      </w:r>
    </w:p>
    <w:p w:rsidR="0005488B" w:rsidRPr="0005488B" w:rsidRDefault="0005488B" w:rsidP="0005488B">
      <w:pPr>
        <w:pStyle w:val="Instructions"/>
      </w:pPr>
      <w:r>
        <w:t xml:space="preserve"> </w:t>
      </w:r>
      <w:r w:rsidRPr="0005488B">
        <w:t xml:space="preserve">Delete paragraph </w:t>
      </w:r>
      <w:r w:rsidRPr="0005488B">
        <w:rPr>
          <w:i/>
        </w:rPr>
        <w:t>(a)(2)</w:t>
      </w:r>
      <w:r w:rsidRPr="0005488B">
        <w:t xml:space="preserve"> and substitute the following:</w:t>
      </w:r>
    </w:p>
    <w:p w:rsidR="0005488B" w:rsidRPr="0005488B" w:rsidRDefault="0005488B" w:rsidP="0005488B">
      <w:pPr>
        <w:pStyle w:val="Indent4"/>
      </w:pPr>
      <w:r w:rsidRPr="0005488B">
        <w:t>(a)(2) Designate target values within the gradation band specified for the nominal maximum size aggregate grading shown in Table 703-4.  Allowable deviations are shown in Table 703-5;</w:t>
      </w:r>
    </w:p>
    <w:p w:rsidR="0005488B" w:rsidRPr="0005488B" w:rsidRDefault="0005488B" w:rsidP="0005488B">
      <w:pPr>
        <w:pStyle w:val="Heading3"/>
        <w:rPr>
          <w:vanish/>
          <w:specVanish/>
        </w:rPr>
      </w:pPr>
      <w:r w:rsidRPr="0005488B">
        <w:t xml:space="preserve">401.03(c)(3) Antistrip Additive.  </w:t>
      </w:r>
    </w:p>
    <w:p w:rsidR="0005488B" w:rsidRPr="0005488B" w:rsidRDefault="0005488B" w:rsidP="0005488B">
      <w:pPr>
        <w:pStyle w:val="Instructions"/>
      </w:pPr>
      <w:r>
        <w:t xml:space="preserve"> </w:t>
      </w:r>
      <w:r w:rsidRPr="0005488B">
        <w:t>Delete the text of this Subsection and substitute the following:</w:t>
      </w:r>
    </w:p>
    <w:p w:rsidR="0005488B" w:rsidRPr="0005488B" w:rsidRDefault="0005488B" w:rsidP="0005488B">
      <w:pPr>
        <w:pStyle w:val="Indent1"/>
      </w:pPr>
      <w:r w:rsidRPr="0005488B">
        <w:rPr>
          <w:b/>
        </w:rPr>
        <w:t>(a)</w:t>
      </w:r>
      <w:r w:rsidRPr="0005488B">
        <w:t>Type 1 (liquid) antistrip additive if part of the JMF:</w:t>
      </w:r>
    </w:p>
    <w:p w:rsidR="0005488B" w:rsidRPr="0005488B" w:rsidRDefault="0005488B" w:rsidP="0005488B">
      <w:pPr>
        <w:pStyle w:val="Indent2"/>
      </w:pPr>
      <w:r w:rsidRPr="0005488B">
        <w:rPr>
          <w:b/>
          <w:bCs/>
        </w:rPr>
        <w:t>(1)</w:t>
      </w:r>
      <w:r w:rsidRPr="0005488B">
        <w:t xml:space="preserve"> Target liquid antistrip additive dosage rate by weight of total binder;</w:t>
      </w:r>
    </w:p>
    <w:p w:rsidR="0005488B" w:rsidRPr="0005488B" w:rsidRDefault="0005488B" w:rsidP="0005488B">
      <w:pPr>
        <w:pStyle w:val="Indent2"/>
      </w:pPr>
      <w:r w:rsidRPr="0005488B">
        <w:rPr>
          <w:b/>
          <w:bCs/>
        </w:rPr>
        <w:t>(2)</w:t>
      </w:r>
      <w:r w:rsidRPr="0005488B">
        <w:t xml:space="preserve"> Test results according to AASHTO T 324, including: </w:t>
      </w:r>
    </w:p>
    <w:p w:rsidR="0005488B" w:rsidRPr="0005488B" w:rsidRDefault="0005488B" w:rsidP="0005488B">
      <w:pPr>
        <w:pStyle w:val="Indent3"/>
        <w:rPr>
          <w:iCs/>
        </w:rPr>
      </w:pPr>
      <w:r w:rsidRPr="0005488B">
        <w:rPr>
          <w:i/>
        </w:rPr>
        <w:t>(a)</w:t>
      </w:r>
      <w:r w:rsidRPr="0005488B">
        <w:t xml:space="preserve"> Mixing temperature for the specimens</w:t>
      </w:r>
    </w:p>
    <w:p w:rsidR="0005488B" w:rsidRPr="0005488B" w:rsidRDefault="0005488B" w:rsidP="0005488B">
      <w:pPr>
        <w:pStyle w:val="Indent3"/>
        <w:rPr>
          <w:iCs/>
        </w:rPr>
      </w:pPr>
      <w:r w:rsidRPr="0005488B">
        <w:rPr>
          <w:i/>
        </w:rPr>
        <w:t>(b)</w:t>
      </w:r>
      <w:r w:rsidRPr="0005488B">
        <w:t xml:space="preserve"> Compaction temperature for the specimens</w:t>
      </w:r>
    </w:p>
    <w:p w:rsidR="0005488B" w:rsidRPr="0005488B" w:rsidRDefault="0005488B" w:rsidP="0005488B">
      <w:pPr>
        <w:pStyle w:val="Indent3"/>
        <w:rPr>
          <w:iCs/>
        </w:rPr>
      </w:pPr>
      <w:r w:rsidRPr="0005488B">
        <w:rPr>
          <w:i/>
        </w:rPr>
        <w:t>(c)</w:t>
      </w:r>
      <w:r w:rsidRPr="0005488B">
        <w:t xml:space="preserve"> Air Void content for each specimen</w:t>
      </w:r>
    </w:p>
    <w:p w:rsidR="0005488B" w:rsidRPr="0005488B" w:rsidRDefault="0005488B" w:rsidP="0005488B">
      <w:pPr>
        <w:pStyle w:val="Indent3"/>
        <w:rPr>
          <w:iCs/>
        </w:rPr>
      </w:pPr>
      <w:r w:rsidRPr="0005488B">
        <w:rPr>
          <w:i/>
        </w:rPr>
        <w:t>(d)</w:t>
      </w:r>
      <w:r w:rsidRPr="0005488B">
        <w:t xml:space="preserve"> Hamburg curve plotting rut depth versus number of passes for each test</w:t>
      </w:r>
    </w:p>
    <w:p w:rsidR="0005488B" w:rsidRPr="0005488B" w:rsidRDefault="0005488B" w:rsidP="0005488B">
      <w:pPr>
        <w:pStyle w:val="Indent2"/>
      </w:pPr>
      <w:r w:rsidRPr="0005488B">
        <w:rPr>
          <w:b/>
          <w:bCs/>
        </w:rPr>
        <w:t>(3)</w:t>
      </w:r>
      <w:r w:rsidRPr="0005488B">
        <w:t xml:space="preserve"> 1 pint (0.5 liter) of liquid antistrip additive;</w:t>
      </w:r>
    </w:p>
    <w:p w:rsidR="0005488B" w:rsidRPr="0005488B" w:rsidRDefault="0005488B" w:rsidP="0005488B">
      <w:pPr>
        <w:pStyle w:val="Indent2"/>
      </w:pPr>
      <w:r w:rsidRPr="0005488B">
        <w:rPr>
          <w:b/>
          <w:bCs/>
        </w:rPr>
        <w:t>(4)</w:t>
      </w:r>
      <w:r w:rsidRPr="0005488B">
        <w:t xml:space="preserve"> Name of product;</w:t>
      </w:r>
    </w:p>
    <w:p w:rsidR="0005488B" w:rsidRPr="0005488B" w:rsidRDefault="0005488B" w:rsidP="0005488B">
      <w:pPr>
        <w:pStyle w:val="Indent2"/>
      </w:pPr>
      <w:r w:rsidRPr="0005488B">
        <w:rPr>
          <w:b/>
          <w:bCs/>
        </w:rPr>
        <w:t>(5)</w:t>
      </w:r>
      <w:r w:rsidRPr="0005488B">
        <w:t xml:space="preserve"> Manufacturer; and</w:t>
      </w:r>
    </w:p>
    <w:p w:rsidR="0005488B" w:rsidRPr="0005488B" w:rsidRDefault="0005488B" w:rsidP="0005488B">
      <w:pPr>
        <w:pStyle w:val="Indent2"/>
      </w:pPr>
      <w:r w:rsidRPr="0005488B">
        <w:rPr>
          <w:b/>
          <w:bCs/>
        </w:rPr>
        <w:t>(6)</w:t>
      </w:r>
      <w:r w:rsidRPr="0005488B">
        <w:t xml:space="preserve"> Manufacturer’s MSDS and product data sheets.</w:t>
      </w:r>
    </w:p>
    <w:p w:rsidR="0005488B" w:rsidRPr="0005488B" w:rsidRDefault="0005488B" w:rsidP="0005488B">
      <w:pPr>
        <w:pStyle w:val="Indent1"/>
      </w:pPr>
      <w:r w:rsidRPr="0005488B">
        <w:rPr>
          <w:b/>
          <w:bCs/>
        </w:rPr>
        <w:t>(b)</w:t>
      </w:r>
      <w:r w:rsidRPr="0005488B">
        <w:t>Type 3 (lime) antistrip additive if part of the JMF:</w:t>
      </w:r>
    </w:p>
    <w:p w:rsidR="0005488B" w:rsidRPr="0005488B" w:rsidRDefault="0005488B" w:rsidP="0005488B">
      <w:pPr>
        <w:pStyle w:val="Indent2"/>
      </w:pPr>
      <w:r w:rsidRPr="0005488B">
        <w:rPr>
          <w:b/>
          <w:bCs/>
        </w:rPr>
        <w:t>(1)</w:t>
      </w:r>
      <w:r w:rsidRPr="0005488B">
        <w:t xml:space="preserve"> 2 pounds (0.9 kilograms) of lime antistrip additive; </w:t>
      </w:r>
    </w:p>
    <w:p w:rsidR="0005488B" w:rsidRPr="0005488B" w:rsidRDefault="0005488B" w:rsidP="0005488B">
      <w:pPr>
        <w:pStyle w:val="Indent2"/>
      </w:pPr>
      <w:r w:rsidRPr="0005488B">
        <w:rPr>
          <w:b/>
          <w:bCs/>
        </w:rPr>
        <w:t>(2)</w:t>
      </w:r>
      <w:r w:rsidRPr="0005488B">
        <w:rPr>
          <w:i/>
          <w:iCs/>
        </w:rPr>
        <w:t xml:space="preserve"> </w:t>
      </w:r>
      <w:r w:rsidRPr="0005488B">
        <w:t xml:space="preserve">Name of product; </w:t>
      </w:r>
    </w:p>
    <w:p w:rsidR="0005488B" w:rsidRPr="0005488B" w:rsidRDefault="0005488B" w:rsidP="0005488B">
      <w:pPr>
        <w:pStyle w:val="Indent2"/>
      </w:pPr>
      <w:r w:rsidRPr="0005488B">
        <w:rPr>
          <w:b/>
          <w:bCs/>
        </w:rPr>
        <w:t>(3)</w:t>
      </w:r>
      <w:r w:rsidRPr="0005488B">
        <w:rPr>
          <w:i/>
          <w:iCs/>
        </w:rPr>
        <w:t xml:space="preserve"> </w:t>
      </w:r>
      <w:r w:rsidRPr="0005488B">
        <w:t xml:space="preserve">Manufacturer; and </w:t>
      </w:r>
    </w:p>
    <w:p w:rsidR="0005488B" w:rsidRPr="0005488B" w:rsidRDefault="0005488B" w:rsidP="0005488B">
      <w:pPr>
        <w:pStyle w:val="Indent2"/>
      </w:pPr>
      <w:r w:rsidRPr="0005488B">
        <w:rPr>
          <w:b/>
          <w:bCs/>
        </w:rPr>
        <w:t>(4)</w:t>
      </w:r>
      <w:r w:rsidRPr="0005488B">
        <w:rPr>
          <w:i/>
          <w:iCs/>
        </w:rPr>
        <w:t xml:space="preserve"> </w:t>
      </w:r>
      <w:r w:rsidRPr="0005488B">
        <w:t>Manufacturer’s MSDS and product data sheets.</w:t>
      </w:r>
    </w:p>
    <w:p w:rsidR="0005488B" w:rsidRPr="0005488B" w:rsidRDefault="0005488B" w:rsidP="0005488B">
      <w:pPr>
        <w:pStyle w:val="Heading3"/>
        <w:rPr>
          <w:vanish/>
          <w:specVanish/>
        </w:rPr>
      </w:pPr>
      <w:r w:rsidRPr="0005488B">
        <w:lastRenderedPageBreak/>
        <w:t xml:space="preserve">401.03(d)(4)  </w:t>
      </w:r>
    </w:p>
    <w:p w:rsidR="0005488B" w:rsidRPr="0005488B" w:rsidRDefault="0005488B" w:rsidP="0005488B">
      <w:pPr>
        <w:pStyle w:val="Instructions"/>
      </w:pPr>
      <w:r>
        <w:t xml:space="preserve"> </w:t>
      </w:r>
      <w:r w:rsidRPr="0005488B">
        <w:t>Delete this Subsection, including Table 401-1, and substitute the following:</w:t>
      </w:r>
    </w:p>
    <w:p w:rsidR="003964C5" w:rsidRPr="0005488B" w:rsidRDefault="0005488B" w:rsidP="003B1376">
      <w:pPr>
        <w:pStyle w:val="Indent2"/>
      </w:pPr>
      <w:r w:rsidRPr="0005488B">
        <w:rPr>
          <w:b/>
        </w:rPr>
        <w:t>(4) Voids in mineral aggregate (VMA).</w:t>
      </w:r>
      <w:r w:rsidRPr="0005488B">
        <w:t xml:space="preserve">  The Contractor's VMA result is verified if the CO's result is within the specification limit in Table 401-1.</w:t>
      </w:r>
    </w:p>
    <w:tbl>
      <w:tblPr>
        <w:tblStyle w:val="TableSCRRotated1"/>
        <w:tblW w:w="6100" w:type="dxa"/>
        <w:tblInd w:w="735" w:type="dxa"/>
        <w:tblLook w:val="0480" w:firstRow="0" w:lastRow="0" w:firstColumn="1" w:lastColumn="0" w:noHBand="0" w:noVBand="1"/>
      </w:tblPr>
      <w:tblGrid>
        <w:gridCol w:w="763"/>
        <w:gridCol w:w="696"/>
        <w:gridCol w:w="556"/>
        <w:gridCol w:w="711"/>
        <w:gridCol w:w="576"/>
        <w:gridCol w:w="576"/>
        <w:gridCol w:w="636"/>
        <w:gridCol w:w="602"/>
        <w:gridCol w:w="984"/>
      </w:tblGrid>
      <w:tr w:rsidR="00623270" w:rsidRPr="00623270" w:rsidTr="00623270">
        <w:trPr>
          <w:trHeight w:val="1129"/>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single" w:sz="4" w:space="0" w:color="auto"/>
              <w:left w:val="single" w:sz="4" w:space="0" w:color="auto"/>
              <w:right w:val="single" w:sz="4" w:space="0" w:color="auto"/>
            </w:tcBorders>
            <w:textDirection w:val="btLr"/>
            <w:vAlign w:val="center"/>
          </w:tcPr>
          <w:p w:rsidR="00623270" w:rsidRPr="00623270" w:rsidRDefault="00623270" w:rsidP="003964C5">
            <w:pPr>
              <w:pageBreakBefore/>
              <w:rPr>
                <w:sz w:val="22"/>
                <w:szCs w:val="22"/>
              </w:rPr>
            </w:pPr>
            <w:r w:rsidRPr="00623270">
              <w:rPr>
                <w:sz w:val="22"/>
                <w:szCs w:val="22"/>
              </w:rPr>
              <w:lastRenderedPageBreak/>
              <w:t>Table 401-1</w:t>
            </w:r>
          </w:p>
          <w:p w:rsidR="00623270" w:rsidRPr="00623270" w:rsidRDefault="00623270" w:rsidP="00623270">
            <w:pPr>
              <w:rPr>
                <w:sz w:val="22"/>
                <w:szCs w:val="22"/>
              </w:rPr>
            </w:pPr>
            <w:r w:rsidRPr="00623270">
              <w:rPr>
                <w:sz w:val="22"/>
                <w:szCs w:val="22"/>
              </w:rPr>
              <w:t>Gyratory Asphalt Concrete Mix Design requirements, AASHTO R35</w:t>
            </w:r>
          </w:p>
        </w:tc>
        <w:tc>
          <w:tcPr>
            <w:tcW w:w="1978" w:type="dxa"/>
            <w:gridSpan w:val="3"/>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sz w:val="22"/>
                <w:szCs w:val="22"/>
              </w:rPr>
            </w:pPr>
            <w:r w:rsidRPr="00623270">
              <w:rPr>
                <w:b/>
                <w:sz w:val="22"/>
                <w:szCs w:val="22"/>
              </w:rPr>
              <w:t xml:space="preserve">Minimum Tensile Strength Ratio, AASHTO </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sz w:val="22"/>
                <w:szCs w:val="22"/>
              </w:rPr>
              <w:t>T 283</w:t>
            </w:r>
          </w:p>
        </w:tc>
        <w:tc>
          <w:tcPr>
            <w:tcW w:w="576" w:type="dxa"/>
            <w:tcBorders>
              <w:top w:val="single" w:sz="4" w:space="0" w:color="auto"/>
              <w:left w:val="single" w:sz="4" w:space="0" w:color="auto"/>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637"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0.80</w:t>
            </w:r>
          </w:p>
        </w:tc>
        <w:tc>
          <w:tcPr>
            <w:tcW w:w="581" w:type="dxa"/>
            <w:tcBorders>
              <w:top w:val="single" w:sz="4" w:space="0" w:color="auto"/>
              <w:left w:val="nil"/>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984" w:type="dxa"/>
            <w:vMerge w:val="restart"/>
            <w:tcBorders>
              <w:top w:val="nil"/>
              <w:left w:val="single" w:sz="4" w:space="0" w:color="auto"/>
              <w:bottom w:val="nil"/>
              <w:right w:val="nil"/>
            </w:tcBorders>
            <w:textDirection w:val="btLr"/>
          </w:tcPr>
          <w:p w:rsidR="00623270" w:rsidRPr="00623270" w:rsidRDefault="00623270" w:rsidP="00F6036E">
            <w:pPr>
              <w:jc w:val="left"/>
              <w:cnfStyle w:val="000000000000" w:firstRow="0" w:lastRow="0" w:firstColumn="0" w:lastColumn="0" w:oddVBand="0" w:evenVBand="0" w:oddHBand="0" w:evenHBand="0" w:firstRowFirstColumn="0" w:firstRowLastColumn="0" w:lastRowFirstColumn="0" w:lastRowLastColumn="0"/>
              <w:rPr>
                <w:sz w:val="20"/>
                <w:szCs w:val="20"/>
              </w:rPr>
            </w:pPr>
            <w:r w:rsidRPr="00623270">
              <w:rPr>
                <w:sz w:val="20"/>
                <w:szCs w:val="20"/>
              </w:rPr>
              <w:t>(1) When mineral filler or hydrated lime is used, include in the calculation for compliance with the VMA.</w:t>
            </w:r>
          </w:p>
          <w:p w:rsidR="00623270" w:rsidRPr="00623270" w:rsidRDefault="00623270" w:rsidP="00F6036E">
            <w:pPr>
              <w:jc w:val="left"/>
              <w:cnfStyle w:val="000000000000" w:firstRow="0" w:lastRow="0" w:firstColumn="0" w:lastColumn="0" w:oddVBand="0" w:evenVBand="0" w:oddHBand="0" w:evenHBand="0" w:firstRowFirstColumn="0" w:firstRowLastColumn="0" w:lastRowFirstColumn="0" w:lastRowLastColumn="0"/>
              <w:rPr>
                <w:sz w:val="20"/>
                <w:szCs w:val="20"/>
              </w:rPr>
            </w:pPr>
            <w:r w:rsidRPr="00623270">
              <w:rPr>
                <w:sz w:val="20"/>
                <w:szCs w:val="20"/>
              </w:rPr>
              <w:t>(2) The nominal maximum size aggregate is one size greater than the first sieve to retain more than 10 percent of the combined aggregate.</w:t>
            </w:r>
          </w:p>
          <w:p w:rsidR="00623270" w:rsidRPr="00623270" w:rsidRDefault="00623270" w:rsidP="00F6036E">
            <w:pPr>
              <w:jc w:val="left"/>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623270">
              <w:rPr>
                <w:sz w:val="20"/>
                <w:szCs w:val="20"/>
              </w:rPr>
              <w:t>(3) Dust to binder ratio is the effective asphalt content divided by the total percent of material passing the No. 200(75-</w:t>
            </w:r>
            <w:r w:rsidRPr="00623270">
              <w:rPr>
                <w:rFonts w:eastAsia="MS Mincho"/>
                <w:sz w:val="20"/>
                <w:szCs w:val="20"/>
              </w:rPr>
              <w:t>µm) sieve.  Dust incl</w:t>
            </w:r>
            <w:r w:rsidR="00C54E5F">
              <w:rPr>
                <w:rFonts w:eastAsia="MS Mincho"/>
                <w:sz w:val="20"/>
                <w:szCs w:val="20"/>
              </w:rPr>
              <w:t xml:space="preserve">udes lime, bag house fines, and </w:t>
            </w:r>
            <w:r w:rsidR="005438D4">
              <w:rPr>
                <w:rFonts w:eastAsia="MS Mincho"/>
                <w:sz w:val="20"/>
                <w:szCs w:val="20"/>
              </w:rPr>
              <w:t>other mineral matter.</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eastAsia="MS Mincho"/>
                <w:sz w:val="20"/>
                <w:szCs w:val="20"/>
              </w:rPr>
              <w:t>other mineral matter.</w:t>
            </w:r>
          </w:p>
        </w:tc>
      </w:tr>
      <w:tr w:rsidR="00623270" w:rsidRPr="00623270" w:rsidTr="00623270">
        <w:trPr>
          <w:trHeight w:val="859"/>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1978" w:type="dxa"/>
            <w:gridSpan w:val="3"/>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sz w:val="22"/>
                <w:szCs w:val="22"/>
              </w:rPr>
              <w:t xml:space="preserve">Dust-to-Binder Ratio </w:t>
            </w:r>
            <w:r w:rsidRPr="00623270">
              <w:rPr>
                <w:sz w:val="20"/>
                <w:szCs w:val="20"/>
                <w:vertAlign w:val="superscript"/>
              </w:rPr>
              <w:t>(3)</w:t>
            </w:r>
          </w:p>
        </w:tc>
        <w:tc>
          <w:tcPr>
            <w:tcW w:w="576" w:type="dxa"/>
            <w:tcBorders>
              <w:top w:val="single" w:sz="4" w:space="0" w:color="auto"/>
              <w:left w:val="single" w:sz="4" w:space="0" w:color="auto"/>
              <w:bottom w:val="single" w:sz="4" w:space="0" w:color="auto"/>
              <w:right w:val="single" w:sz="4" w:space="0" w:color="D9D9D9" w:themeColor="background1" w:themeShade="D9"/>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single" w:sz="4" w:space="0" w:color="D9D9D9" w:themeColor="background1" w:themeShade="D9"/>
              <w:bottom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0.8-1.6</w:t>
            </w:r>
          </w:p>
        </w:tc>
        <w:tc>
          <w:tcPr>
            <w:tcW w:w="637" w:type="dxa"/>
            <w:tcBorders>
              <w:top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0.6-2.0</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r>
      <w:tr w:rsidR="00623270" w:rsidRPr="00623270" w:rsidTr="00623270">
        <w:trPr>
          <w:trHeight w:val="967"/>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1978" w:type="dxa"/>
            <w:gridSpan w:val="3"/>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sz w:val="22"/>
                <w:szCs w:val="22"/>
              </w:rPr>
              <w:t>Voids Filled with Asphalt (VFA), %</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70.0 -80.0</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65.0-78.0</w:t>
            </w:r>
          </w:p>
        </w:tc>
        <w:tc>
          <w:tcPr>
            <w:tcW w:w="637"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65.0-78.0</w:t>
            </w: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76.0-80.0</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r>
      <w:tr w:rsidR="00623270" w:rsidRPr="00623270" w:rsidTr="00623270">
        <w:trPr>
          <w:trHeight w:val="103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700" w:type="dxa"/>
            <w:vMerge w:val="restart"/>
            <w:tcBorders>
              <w:top w:val="single" w:sz="4" w:space="0" w:color="auto"/>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sz w:val="22"/>
                <w:szCs w:val="22"/>
              </w:rPr>
            </w:pPr>
            <w:r w:rsidRPr="00623270">
              <w:rPr>
                <w:b/>
                <w:sz w:val="22"/>
                <w:szCs w:val="22"/>
              </w:rPr>
              <w:t>Void-in-the Mineral Aggregate</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sz w:val="22"/>
                <w:szCs w:val="22"/>
              </w:rPr>
            </w:pPr>
            <w:r w:rsidRPr="00623270">
              <w:rPr>
                <w:b/>
                <w:sz w:val="22"/>
                <w:szCs w:val="22"/>
              </w:rPr>
              <w:t xml:space="preserve">(VMA), % </w:t>
            </w:r>
            <w:r w:rsidRPr="00623270">
              <w:rPr>
                <w:sz w:val="20"/>
                <w:szCs w:val="20"/>
                <w:vertAlign w:val="superscript"/>
              </w:rPr>
              <w:t>(1)</w:t>
            </w:r>
          </w:p>
        </w:tc>
        <w:tc>
          <w:tcPr>
            <w:tcW w:w="563" w:type="dxa"/>
            <w:vMerge w:val="restart"/>
            <w:tcBorders>
              <w:top w:val="single" w:sz="4" w:space="0" w:color="auto"/>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N</w:t>
            </w:r>
            <w:r w:rsidRPr="00623270">
              <w:rPr>
                <w:b/>
                <w:sz w:val="22"/>
                <w:szCs w:val="22"/>
              </w:rPr>
              <w:t xml:space="preserve">ominal Maximum Size Aggregate </w:t>
            </w:r>
            <w:r w:rsidRPr="00623270">
              <w:rPr>
                <w:sz w:val="20"/>
                <w:szCs w:val="20"/>
                <w:vertAlign w:val="superscript"/>
              </w:rPr>
              <w:t>(2)</w:t>
            </w:r>
          </w:p>
        </w:tc>
        <w:tc>
          <w:tcPr>
            <w:tcW w:w="715" w:type="dxa"/>
            <w:tcBorders>
              <w:top w:val="single" w:sz="6" w:space="0" w:color="auto"/>
              <w:left w:val="single" w:sz="4" w:space="0" w:color="auto"/>
              <w:bottom w:val="single" w:sz="6"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sz w:val="22"/>
                <w:szCs w:val="22"/>
              </w:rPr>
            </w:pPr>
            <w:r w:rsidRPr="00623270">
              <w:rPr>
                <w:b/>
                <w:sz w:val="22"/>
                <w:szCs w:val="22"/>
              </w:rPr>
              <w:t>#4 Sieve</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sz w:val="22"/>
                <w:szCs w:val="22"/>
              </w:rPr>
              <w:t>(4.75 mm)</w:t>
            </w:r>
          </w:p>
        </w:tc>
        <w:tc>
          <w:tcPr>
            <w:tcW w:w="576" w:type="dxa"/>
            <w:tcBorders>
              <w:top w:val="single" w:sz="4" w:space="0" w:color="auto"/>
              <w:left w:val="single" w:sz="4" w:space="0" w:color="auto"/>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bCs/>
              </w:rPr>
              <w:t>−</w:t>
            </w:r>
          </w:p>
        </w:tc>
        <w:tc>
          <w:tcPr>
            <w:tcW w:w="637" w:type="dxa"/>
            <w:tcBorders>
              <w:top w:val="single" w:sz="4" w:space="0" w:color="auto"/>
              <w:left w:val="nil"/>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16.0-19.0</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r>
      <w:tr w:rsidR="00623270" w:rsidRPr="00623270" w:rsidTr="00623270">
        <w:trPr>
          <w:trHeight w:val="8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700" w:type="dxa"/>
            <w:vMerge/>
            <w:tcBorders>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63" w:type="dxa"/>
            <w:vMerge/>
            <w:tcBorders>
              <w:top w:val="single" w:sz="4" w:space="0" w:color="auto"/>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715" w:type="dxa"/>
            <w:tcBorders>
              <w:top w:val="single" w:sz="4" w:space="0" w:color="auto"/>
              <w:left w:val="single" w:sz="4" w:space="0" w:color="auto"/>
              <w:bottom w:val="single" w:sz="6"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b/>
                <w:sz w:val="22"/>
                <w:szCs w:val="22"/>
              </w:rPr>
            </w:pPr>
            <w:r w:rsidRPr="00623270">
              <w:rPr>
                <w:rFonts w:eastAsia="MS Mincho"/>
                <w:b/>
                <w:sz w:val="22"/>
                <w:szCs w:val="22"/>
              </w:rPr>
              <w:t>⅜ inch</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eastAsia="MS Mincho"/>
                <w:b/>
                <w:sz w:val="22"/>
                <w:szCs w:val="22"/>
              </w:rPr>
              <w:t>(9.5 mm)</w:t>
            </w:r>
          </w:p>
        </w:tc>
        <w:tc>
          <w:tcPr>
            <w:tcW w:w="576" w:type="dxa"/>
            <w:tcBorders>
              <w:top w:val="single" w:sz="4" w:space="0" w:color="auto"/>
              <w:left w:val="single" w:sz="4" w:space="0" w:color="auto"/>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15.0-18.0</w:t>
            </w:r>
          </w:p>
        </w:tc>
        <w:tc>
          <w:tcPr>
            <w:tcW w:w="637" w:type="dxa"/>
            <w:tcBorders>
              <w:top w:val="single" w:sz="4" w:space="0" w:color="auto"/>
              <w:left w:val="nil"/>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bCs/>
              </w:rPr>
              <w:t>−</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bCs/>
              </w:rPr>
            </w:pPr>
          </w:p>
        </w:tc>
      </w:tr>
      <w:tr w:rsidR="00623270" w:rsidRPr="00623270" w:rsidTr="00623270">
        <w:trPr>
          <w:trHeight w:val="103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700" w:type="dxa"/>
            <w:vMerge/>
            <w:tcBorders>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63" w:type="dxa"/>
            <w:vMerge/>
            <w:tcBorders>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715" w:type="dxa"/>
            <w:tcBorders>
              <w:top w:val="single" w:sz="6" w:space="0" w:color="auto"/>
              <w:left w:val="single" w:sz="4" w:space="0" w:color="auto"/>
              <w:bottom w:val="single" w:sz="6"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b/>
                <w:sz w:val="22"/>
                <w:szCs w:val="22"/>
              </w:rPr>
            </w:pPr>
            <w:r w:rsidRPr="00623270">
              <w:rPr>
                <w:rFonts w:eastAsia="MS Mincho"/>
                <w:b/>
                <w:sz w:val="22"/>
                <w:szCs w:val="22"/>
              </w:rPr>
              <w:t>½ inch</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eastAsia="MS Mincho"/>
                <w:b/>
                <w:sz w:val="22"/>
                <w:szCs w:val="22"/>
              </w:rPr>
              <w:t>(12.5 mm)</w:t>
            </w:r>
          </w:p>
        </w:tc>
        <w:tc>
          <w:tcPr>
            <w:tcW w:w="576" w:type="dxa"/>
            <w:tcBorders>
              <w:top w:val="single" w:sz="4" w:space="0" w:color="auto"/>
              <w:left w:val="single" w:sz="4" w:space="0" w:color="auto"/>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14.0-17.0</w:t>
            </w:r>
          </w:p>
        </w:tc>
        <w:tc>
          <w:tcPr>
            <w:tcW w:w="637" w:type="dxa"/>
            <w:tcBorders>
              <w:top w:val="single" w:sz="4" w:space="0" w:color="auto"/>
              <w:left w:val="nil"/>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bCs/>
              </w:rPr>
              <w:t>−</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bCs/>
              </w:rPr>
            </w:pPr>
          </w:p>
        </w:tc>
      </w:tr>
      <w:tr w:rsidR="00623270" w:rsidRPr="00623270" w:rsidTr="00623270">
        <w:trPr>
          <w:trHeight w:val="872"/>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700" w:type="dxa"/>
            <w:vMerge/>
            <w:tcBorders>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63" w:type="dxa"/>
            <w:vMerge/>
            <w:tcBorders>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715" w:type="dxa"/>
            <w:tcBorders>
              <w:top w:val="single" w:sz="6"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b/>
                <w:sz w:val="22"/>
                <w:szCs w:val="22"/>
              </w:rPr>
            </w:pPr>
            <w:r w:rsidRPr="00623270">
              <w:rPr>
                <w:rFonts w:eastAsia="MS Mincho"/>
                <w:b/>
                <w:sz w:val="22"/>
                <w:szCs w:val="22"/>
              </w:rPr>
              <w:t>¾ inch</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eastAsia="MS Mincho"/>
                <w:b/>
                <w:sz w:val="22"/>
                <w:szCs w:val="22"/>
              </w:rPr>
              <w:t>(19 mm)</w:t>
            </w:r>
          </w:p>
        </w:tc>
        <w:tc>
          <w:tcPr>
            <w:tcW w:w="576" w:type="dxa"/>
            <w:tcBorders>
              <w:top w:val="single" w:sz="4" w:space="0" w:color="auto"/>
              <w:left w:val="single" w:sz="4" w:space="0" w:color="auto"/>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13.0-16.0</w:t>
            </w:r>
          </w:p>
        </w:tc>
        <w:tc>
          <w:tcPr>
            <w:tcW w:w="637" w:type="dxa"/>
            <w:tcBorders>
              <w:top w:val="single" w:sz="4" w:space="0" w:color="auto"/>
              <w:left w:val="nil"/>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bCs/>
              </w:rPr>
              <w:t>−</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bCs/>
              </w:rPr>
            </w:pPr>
          </w:p>
        </w:tc>
      </w:tr>
      <w:tr w:rsidR="00623270" w:rsidRPr="00623270" w:rsidTr="00623270">
        <w:trPr>
          <w:trHeight w:val="8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700" w:type="dxa"/>
            <w:vMerge/>
            <w:tcBorders>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63" w:type="dxa"/>
            <w:vMerge/>
            <w:tcBorders>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715" w:type="dxa"/>
            <w:tcBorders>
              <w:top w:val="single" w:sz="4" w:space="0" w:color="auto"/>
              <w:left w:val="single" w:sz="4" w:space="0" w:color="D9D9D9" w:themeColor="background1" w:themeShade="D9"/>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b/>
                <w:sz w:val="22"/>
                <w:szCs w:val="22"/>
              </w:rPr>
            </w:pPr>
            <w:r w:rsidRPr="00623270">
              <w:rPr>
                <w:rFonts w:eastAsia="MS Mincho"/>
                <w:b/>
                <w:sz w:val="22"/>
                <w:szCs w:val="22"/>
              </w:rPr>
              <w:t>1 inch</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eastAsia="MS Mincho"/>
                <w:b/>
                <w:sz w:val="22"/>
                <w:szCs w:val="22"/>
              </w:rPr>
              <w:t>(25 mm)</w:t>
            </w:r>
          </w:p>
        </w:tc>
        <w:tc>
          <w:tcPr>
            <w:tcW w:w="576" w:type="dxa"/>
            <w:tcBorders>
              <w:top w:val="single" w:sz="4" w:space="0" w:color="auto"/>
              <w:left w:val="single" w:sz="4" w:space="0" w:color="auto"/>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12.0-15.0</w:t>
            </w:r>
          </w:p>
        </w:tc>
        <w:tc>
          <w:tcPr>
            <w:tcW w:w="637" w:type="dxa"/>
            <w:tcBorders>
              <w:top w:val="single" w:sz="4" w:space="0" w:color="auto"/>
              <w:left w:val="nil"/>
              <w:bottom w:val="single" w:sz="4" w:space="0" w:color="auto"/>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581" w:type="dxa"/>
            <w:tcBorders>
              <w:top w:val="single" w:sz="4" w:space="0" w:color="auto"/>
              <w:left w:val="nil"/>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bCs/>
              </w:rPr>
              <w:t>−</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bCs/>
              </w:rPr>
            </w:pPr>
          </w:p>
        </w:tc>
      </w:tr>
      <w:tr w:rsidR="00623270" w:rsidRPr="00623270" w:rsidTr="00623270">
        <w:trPr>
          <w:trHeight w:val="769"/>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1263" w:type="dxa"/>
            <w:gridSpan w:val="2"/>
            <w:vMerge w:val="restart"/>
            <w:tcBorders>
              <w:top w:val="single" w:sz="4" w:space="0" w:color="auto"/>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sz w:val="22"/>
                <w:szCs w:val="22"/>
              </w:rPr>
            </w:pPr>
            <w:r w:rsidRPr="00623270">
              <w:rPr>
                <w:b/>
                <w:sz w:val="22"/>
                <w:szCs w:val="22"/>
              </w:rPr>
              <w:t>Gyrator Compaction Level (% Theoretical Maximum Specific Gravity G</w:t>
            </w:r>
            <w:r w:rsidRPr="00623270">
              <w:rPr>
                <w:b/>
                <w:sz w:val="22"/>
                <w:szCs w:val="22"/>
                <w:vertAlign w:val="subscript"/>
              </w:rPr>
              <w:t>mm</w:t>
            </w:r>
            <w:r w:rsidRPr="00623270">
              <w:rPr>
                <w:b/>
                <w:sz w:val="22"/>
                <w:szCs w:val="22"/>
              </w:rPr>
              <w:t>) AASHTO T 312</w:t>
            </w:r>
          </w:p>
        </w:tc>
        <w:tc>
          <w:tcPr>
            <w:tcW w:w="715"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N</w:t>
            </w:r>
            <w:r w:rsidRPr="00623270">
              <w:rPr>
                <w:sz w:val="22"/>
                <w:szCs w:val="22"/>
                <w:vertAlign w:val="subscript"/>
              </w:rPr>
              <w:t>max</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sz w:val="20"/>
                <w:szCs w:val="20"/>
              </w:rPr>
              <w:t>75</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eastAsia="MS Mincho"/>
                <w:sz w:val="20"/>
                <w:szCs w:val="20"/>
              </w:rPr>
              <w:t>(≤98.0%)</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623270">
              <w:rPr>
                <w:rFonts w:eastAsia="MS Mincho"/>
                <w:sz w:val="20"/>
                <w:szCs w:val="20"/>
              </w:rPr>
              <w:t>115</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eastAsia="MS Mincho"/>
                <w:sz w:val="20"/>
                <w:szCs w:val="20"/>
              </w:rPr>
              <w:t>(≤98.0%)</w:t>
            </w:r>
          </w:p>
        </w:tc>
        <w:tc>
          <w:tcPr>
            <w:tcW w:w="637"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623270">
              <w:rPr>
                <w:rFonts w:asciiTheme="minorHAnsi" w:eastAsia="MS Mincho" w:hAnsiTheme="minorHAnsi" w:cstheme="minorHAnsi"/>
                <w:sz w:val="20"/>
                <w:szCs w:val="20"/>
              </w:rPr>
              <w:t>160</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asciiTheme="minorHAnsi" w:eastAsia="MS Mincho" w:hAnsiTheme="minorHAnsi" w:cstheme="minorHAnsi"/>
                <w:sz w:val="20"/>
                <w:szCs w:val="20"/>
              </w:rPr>
              <w:t>(≤98.0%)</w:t>
            </w: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623270">
              <w:rPr>
                <w:rFonts w:asciiTheme="minorHAnsi" w:eastAsia="MS Mincho" w:hAnsiTheme="minorHAnsi" w:cstheme="minorHAnsi"/>
                <w:sz w:val="20"/>
                <w:szCs w:val="20"/>
              </w:rPr>
              <w:t>75</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asciiTheme="minorHAnsi" w:eastAsia="MS Mincho" w:hAnsiTheme="minorHAnsi" w:cstheme="minorHAnsi"/>
                <w:sz w:val="20"/>
                <w:szCs w:val="20"/>
              </w:rPr>
              <w:t>≤98.0%)</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r>
      <w:tr w:rsidR="00623270" w:rsidRPr="00623270" w:rsidTr="00623270">
        <w:trPr>
          <w:trHeight w:val="692"/>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1263" w:type="dxa"/>
            <w:gridSpan w:val="2"/>
            <w:vMerge/>
            <w:tcBorders>
              <w:left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715"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N</w:t>
            </w:r>
            <w:r w:rsidRPr="00623270">
              <w:rPr>
                <w:sz w:val="22"/>
                <w:szCs w:val="22"/>
                <w:vertAlign w:val="subscript"/>
              </w:rPr>
              <w:t>design</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623270">
              <w:rPr>
                <w:rFonts w:eastAsia="MS Mincho"/>
                <w:sz w:val="20"/>
                <w:szCs w:val="20"/>
              </w:rPr>
              <w:t>50</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eastAsia="MS Mincho"/>
                <w:sz w:val="20"/>
                <w:szCs w:val="20"/>
              </w:rPr>
              <w:t>(96.0%)</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623270">
              <w:rPr>
                <w:rFonts w:eastAsia="MS Mincho"/>
                <w:sz w:val="20"/>
                <w:szCs w:val="20"/>
              </w:rPr>
              <w:t>75</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eastAsia="MS Mincho"/>
                <w:sz w:val="20"/>
                <w:szCs w:val="20"/>
              </w:rPr>
              <w:t>(96.0%)</w:t>
            </w:r>
          </w:p>
        </w:tc>
        <w:tc>
          <w:tcPr>
            <w:tcW w:w="637"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623270">
              <w:rPr>
                <w:rFonts w:asciiTheme="minorHAnsi" w:eastAsia="MS Mincho" w:hAnsiTheme="minorHAnsi" w:cstheme="minorHAnsi"/>
                <w:sz w:val="20"/>
                <w:szCs w:val="20"/>
              </w:rPr>
              <w:t>100</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asciiTheme="minorHAnsi" w:eastAsia="MS Mincho" w:hAnsiTheme="minorHAnsi" w:cstheme="minorHAnsi"/>
                <w:sz w:val="20"/>
                <w:szCs w:val="20"/>
              </w:rPr>
              <w:t>(96.0%)</w:t>
            </w: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623270">
              <w:rPr>
                <w:rFonts w:asciiTheme="minorHAnsi" w:eastAsia="MS Mincho" w:hAnsiTheme="minorHAnsi" w:cstheme="minorHAnsi"/>
                <w:sz w:val="20"/>
                <w:szCs w:val="20"/>
              </w:rPr>
              <w:t>50</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0"/>
                <w:szCs w:val="20"/>
              </w:rPr>
            </w:pPr>
            <w:r w:rsidRPr="00623270">
              <w:rPr>
                <w:rFonts w:asciiTheme="minorHAnsi" w:eastAsia="MS Mincho" w:hAnsiTheme="minorHAnsi" w:cstheme="minorHAnsi"/>
                <w:sz w:val="20"/>
                <w:szCs w:val="20"/>
              </w:rPr>
              <w:t>(96.0%)</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p>
        </w:tc>
      </w:tr>
      <w:tr w:rsidR="00623270" w:rsidRPr="00623270" w:rsidTr="00623270">
        <w:trPr>
          <w:trHeight w:val="8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right w:val="single" w:sz="4" w:space="0" w:color="auto"/>
            </w:tcBorders>
            <w:textDirection w:val="btLr"/>
            <w:vAlign w:val="center"/>
          </w:tcPr>
          <w:p w:rsidR="00623270" w:rsidRPr="00623270" w:rsidRDefault="00623270" w:rsidP="00623270">
            <w:pPr>
              <w:rPr>
                <w:sz w:val="22"/>
                <w:szCs w:val="22"/>
              </w:rPr>
            </w:pPr>
          </w:p>
        </w:tc>
        <w:tc>
          <w:tcPr>
            <w:tcW w:w="1263" w:type="dxa"/>
            <w:gridSpan w:val="2"/>
            <w:vMerge/>
            <w:tcBorders>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p>
        </w:tc>
        <w:tc>
          <w:tcPr>
            <w:tcW w:w="715"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N</w:t>
            </w:r>
            <w:r w:rsidRPr="00623270">
              <w:rPr>
                <w:sz w:val="22"/>
                <w:szCs w:val="22"/>
                <w:vertAlign w:val="subscript"/>
              </w:rPr>
              <w:t>initial</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sz w:val="22"/>
                <w:szCs w:val="22"/>
              </w:rPr>
            </w:pPr>
            <w:r w:rsidRPr="00623270">
              <w:rPr>
                <w:rFonts w:eastAsia="MS Mincho"/>
                <w:sz w:val="22"/>
                <w:szCs w:val="22"/>
              </w:rPr>
              <w:t>6</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eastAsia="MS Mincho"/>
                <w:sz w:val="22"/>
                <w:szCs w:val="22"/>
              </w:rPr>
              <w:t>(≤91.5%)</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eastAsia="MS Mincho"/>
                <w:sz w:val="22"/>
                <w:szCs w:val="22"/>
              </w:rPr>
            </w:pPr>
            <w:r w:rsidRPr="00623270">
              <w:rPr>
                <w:rFonts w:eastAsia="MS Mincho"/>
                <w:sz w:val="22"/>
                <w:szCs w:val="22"/>
              </w:rPr>
              <w:t>7</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eastAsia="MS Mincho"/>
                <w:sz w:val="22"/>
                <w:szCs w:val="22"/>
              </w:rPr>
              <w:t>(≤90.5%)</w:t>
            </w:r>
          </w:p>
        </w:tc>
        <w:tc>
          <w:tcPr>
            <w:tcW w:w="637"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2"/>
                <w:szCs w:val="22"/>
              </w:rPr>
            </w:pPr>
            <w:r w:rsidRPr="00623270">
              <w:rPr>
                <w:rFonts w:asciiTheme="minorHAnsi" w:eastAsia="MS Mincho" w:hAnsiTheme="minorHAnsi" w:cstheme="minorHAnsi"/>
                <w:sz w:val="22"/>
                <w:szCs w:val="22"/>
              </w:rPr>
              <w:t>8</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asciiTheme="minorHAnsi" w:eastAsia="MS Mincho" w:hAnsiTheme="minorHAnsi" w:cstheme="minorHAnsi"/>
                <w:sz w:val="22"/>
                <w:szCs w:val="22"/>
              </w:rPr>
              <w:t>(≤89.0%)</w:t>
            </w:r>
          </w:p>
        </w:tc>
        <w:tc>
          <w:tcPr>
            <w:tcW w:w="581"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2"/>
                <w:szCs w:val="22"/>
              </w:rPr>
            </w:pPr>
            <w:r w:rsidRPr="00623270">
              <w:rPr>
                <w:rFonts w:asciiTheme="minorHAnsi" w:eastAsia="MS Mincho" w:hAnsiTheme="minorHAnsi" w:cstheme="minorHAnsi"/>
                <w:sz w:val="22"/>
                <w:szCs w:val="22"/>
              </w:rPr>
              <w:t>6</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rFonts w:asciiTheme="minorHAnsi" w:eastAsia="MS Mincho" w:hAnsiTheme="minorHAnsi" w:cstheme="minorHAnsi"/>
                <w:sz w:val="22"/>
                <w:szCs w:val="22"/>
              </w:rPr>
              <w:t>(≤91.5%)</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2"/>
                <w:szCs w:val="22"/>
              </w:rPr>
            </w:pPr>
          </w:p>
        </w:tc>
      </w:tr>
      <w:tr w:rsidR="00623270" w:rsidRPr="00623270" w:rsidTr="00623270">
        <w:trPr>
          <w:trHeight w:val="859"/>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auto"/>
              <w:bottom w:val="single" w:sz="4" w:space="0" w:color="auto"/>
              <w:right w:val="single" w:sz="4" w:space="0" w:color="auto"/>
            </w:tcBorders>
            <w:textDirection w:val="btLr"/>
            <w:vAlign w:val="center"/>
          </w:tcPr>
          <w:p w:rsidR="00623270" w:rsidRPr="00623270" w:rsidRDefault="00623270" w:rsidP="00623270">
            <w:pPr>
              <w:rPr>
                <w:sz w:val="22"/>
                <w:szCs w:val="22"/>
              </w:rPr>
            </w:pPr>
          </w:p>
        </w:tc>
        <w:tc>
          <w:tcPr>
            <w:tcW w:w="1978" w:type="dxa"/>
            <w:gridSpan w:val="3"/>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sz w:val="22"/>
                <w:szCs w:val="22"/>
              </w:rPr>
            </w:pPr>
            <w:r w:rsidRPr="00623270">
              <w:rPr>
                <w:b/>
                <w:sz w:val="22"/>
                <w:szCs w:val="22"/>
              </w:rPr>
              <w:t>Design ESAL</w:t>
            </w:r>
          </w:p>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sz w:val="22"/>
                <w:szCs w:val="22"/>
              </w:rPr>
              <w:t>(Million)</w:t>
            </w:r>
          </w:p>
        </w:tc>
        <w:tc>
          <w:tcPr>
            <w:tcW w:w="576" w:type="dxa"/>
            <w:tcBorders>
              <w:top w:val="single" w:sz="4" w:space="0" w:color="auto"/>
              <w:left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&lt;0.3</w:t>
            </w:r>
          </w:p>
        </w:tc>
        <w:tc>
          <w:tcPr>
            <w:tcW w:w="576" w:type="dxa"/>
            <w:tcBorders>
              <w:top w:val="single" w:sz="4" w:space="0" w:color="auto"/>
              <w:left w:val="single" w:sz="4" w:space="0" w:color="auto"/>
              <w:bottom w:val="single" w:sz="8"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0.3 to &lt;3</w:t>
            </w:r>
          </w:p>
        </w:tc>
        <w:tc>
          <w:tcPr>
            <w:tcW w:w="637" w:type="dxa"/>
            <w:tcBorders>
              <w:top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sz w:val="22"/>
                <w:szCs w:val="22"/>
              </w:rPr>
              <w:t>3 to 30</w:t>
            </w:r>
          </w:p>
        </w:tc>
        <w:tc>
          <w:tcPr>
            <w:tcW w:w="581" w:type="dxa"/>
            <w:tcBorders>
              <w:top w:val="single" w:sz="4" w:space="0" w:color="auto"/>
              <w:bottom w:val="single" w:sz="4" w:space="0" w:color="auto"/>
              <w:right w:val="single" w:sz="4" w:space="0" w:color="auto"/>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sz w:val="22"/>
                <w:szCs w:val="22"/>
              </w:rPr>
            </w:pPr>
            <w:r w:rsidRPr="00623270">
              <w:rPr>
                <w:b/>
                <w:bCs/>
              </w:rPr>
              <w:t>−</w:t>
            </w:r>
          </w:p>
        </w:tc>
        <w:tc>
          <w:tcPr>
            <w:tcW w:w="984" w:type="dxa"/>
            <w:vMerge/>
            <w:tcBorders>
              <w:top w:val="nil"/>
              <w:left w:val="single" w:sz="4" w:space="0" w:color="auto"/>
              <w:bottom w:val="nil"/>
              <w:right w:val="nil"/>
            </w:tcBorders>
            <w:textDirection w:val="btLr"/>
          </w:tcPr>
          <w:p w:rsidR="00623270" w:rsidRPr="00623270" w:rsidRDefault="00623270" w:rsidP="00623270">
            <w:pPr>
              <w:cnfStyle w:val="000000000000" w:firstRow="0" w:lastRow="0" w:firstColumn="0" w:lastColumn="0" w:oddVBand="0" w:evenVBand="0" w:oddHBand="0" w:evenHBand="0" w:firstRowFirstColumn="0" w:firstRowLastColumn="0" w:lastRowFirstColumn="0" w:lastRowLastColumn="0"/>
              <w:rPr>
                <w:b/>
                <w:bCs/>
              </w:rPr>
            </w:pPr>
          </w:p>
        </w:tc>
      </w:tr>
    </w:tbl>
    <w:p w:rsidR="00E312AB" w:rsidRDefault="00E312AB" w:rsidP="00A83E37">
      <w:pPr>
        <w:pStyle w:val="BodyText"/>
      </w:pPr>
    </w:p>
    <w:p w:rsidR="00F047AB" w:rsidRPr="00AE2AB2" w:rsidRDefault="00F047AB" w:rsidP="00AE2AB2">
      <w:pPr>
        <w:pStyle w:val="Directions"/>
        <w:rPr>
          <w:rStyle w:val="DirectionsInfo"/>
        </w:rPr>
      </w:pPr>
      <w:r w:rsidRPr="00AE2AB2">
        <w:rPr>
          <w:rStyle w:val="DirectionsInfo"/>
        </w:rPr>
        <w:lastRenderedPageBreak/>
        <w:t>WFL Specification 07/07/14</w:t>
      </w:r>
      <w:r w:rsidR="00A54203">
        <w:rPr>
          <w:rStyle w:val="DirectionsInfo"/>
        </w:rPr>
        <w:tab/>
        <w:t>4010020</w:t>
      </w:r>
    </w:p>
    <w:p w:rsidR="00F047AB" w:rsidRPr="00597D6F" w:rsidRDefault="00F047AB" w:rsidP="00597D6F">
      <w:pPr>
        <w:pStyle w:val="Directions"/>
        <w:rPr>
          <w:rStyle w:val="DirectionsInfo"/>
          <w:color w:val="330000"/>
          <w:sz w:val="20"/>
          <w:szCs w:val="24"/>
          <w:u w:val="none"/>
          <w:bdr w:val="none" w:sz="0" w:space="0" w:color="auto"/>
        </w:rPr>
      </w:pPr>
      <w:r w:rsidRPr="00597D6F">
        <w:rPr>
          <w:rStyle w:val="DirectionsInfo"/>
          <w:color w:val="330000"/>
          <w:sz w:val="20"/>
          <w:szCs w:val="24"/>
          <w:u w:val="none"/>
          <w:bdr w:val="none" w:sz="0" w:space="0" w:color="auto"/>
        </w:rPr>
        <w:t>Include the following when a safety edge is NOT needed.</w:t>
      </w:r>
    </w:p>
    <w:p w:rsidR="00F047AB" w:rsidRPr="00597D6F" w:rsidRDefault="00F047AB" w:rsidP="00597D6F">
      <w:pPr>
        <w:pStyle w:val="Directions"/>
        <w:rPr>
          <w:rStyle w:val="DirectionsInfo"/>
          <w:color w:val="330000"/>
          <w:sz w:val="20"/>
          <w:szCs w:val="24"/>
          <w:u w:val="none"/>
          <w:bdr w:val="none" w:sz="0" w:space="0" w:color="auto"/>
        </w:rPr>
      </w:pPr>
      <w:r w:rsidRPr="00597D6F">
        <w:rPr>
          <w:rStyle w:val="DirectionsInfo"/>
          <w:color w:val="330000"/>
          <w:sz w:val="20"/>
          <w:szCs w:val="24"/>
          <w:u w:val="none"/>
          <w:bdr w:val="none" w:sz="0" w:space="0" w:color="auto"/>
        </w:rPr>
        <w:t>Coordinate with WFL Materials to determine safety edge need.</w:t>
      </w:r>
    </w:p>
    <w:p w:rsidR="00F047AB" w:rsidRPr="00597D6F" w:rsidRDefault="00F047AB" w:rsidP="00597D6F">
      <w:pPr>
        <w:pStyle w:val="Heading3"/>
        <w:rPr>
          <w:vanish/>
          <w:specVanish/>
        </w:rPr>
      </w:pPr>
      <w:r w:rsidRPr="00F047AB">
        <w:t xml:space="preserve">401.05(a) Pavers.  </w:t>
      </w:r>
    </w:p>
    <w:p w:rsidR="00F047AB" w:rsidRPr="00F047AB" w:rsidRDefault="00597D6F" w:rsidP="00597D6F">
      <w:pPr>
        <w:pStyle w:val="Instructions"/>
      </w:pPr>
      <w:r>
        <w:t xml:space="preserve"> </w:t>
      </w:r>
      <w:r w:rsidR="00F047AB" w:rsidRPr="00F047AB">
        <w:t>Delete paragraph (9).</w:t>
      </w:r>
    </w:p>
    <w:p w:rsidR="00F047AB" w:rsidRPr="00AE2AB2" w:rsidRDefault="00F047AB" w:rsidP="00AE2AB2">
      <w:pPr>
        <w:pStyle w:val="Directions"/>
        <w:rPr>
          <w:rStyle w:val="DirectionsInfo"/>
        </w:rPr>
      </w:pPr>
      <w:r w:rsidRPr="00AE2AB2">
        <w:rPr>
          <w:rStyle w:val="DirectionsInfo"/>
        </w:rPr>
        <w:t>WFL Specification 11/05/15</w:t>
      </w:r>
      <w:r w:rsidR="00A54203">
        <w:rPr>
          <w:rStyle w:val="DirectionsInfo"/>
        </w:rPr>
        <w:tab/>
        <w:t>4010030</w:t>
      </w:r>
    </w:p>
    <w:p w:rsidR="00F047AB" w:rsidRPr="00F047AB" w:rsidRDefault="00F047AB" w:rsidP="00AE2AB2">
      <w:pPr>
        <w:pStyle w:val="Directions"/>
      </w:pPr>
      <w:r w:rsidRPr="00F047AB">
        <w:t xml:space="preserve">Include the following </w:t>
      </w:r>
      <w:r w:rsidR="003633D5">
        <w:t>when work is required under this Section.</w:t>
      </w:r>
    </w:p>
    <w:p w:rsidR="00F047AB" w:rsidRPr="00597D6F" w:rsidRDefault="00F047AB" w:rsidP="00597D6F">
      <w:pPr>
        <w:pStyle w:val="Heading3"/>
        <w:rPr>
          <w:vanish/>
          <w:specVanish/>
        </w:rPr>
      </w:pPr>
      <w:r w:rsidRPr="00F047AB">
        <w:t xml:space="preserve">401.14 Compacting.  </w:t>
      </w:r>
    </w:p>
    <w:p w:rsidR="00F047AB" w:rsidRPr="00F047AB" w:rsidRDefault="00597D6F" w:rsidP="00597D6F">
      <w:pPr>
        <w:pStyle w:val="Instructions"/>
      </w:pPr>
      <w:r>
        <w:t xml:space="preserve"> </w:t>
      </w:r>
      <w:r w:rsidR="00F047AB" w:rsidRPr="00F047AB">
        <w:t>Add the following to the third paragraph:</w:t>
      </w:r>
    </w:p>
    <w:p w:rsidR="00F047AB" w:rsidRPr="00F047AB" w:rsidRDefault="00F047AB" w:rsidP="00597D6F">
      <w:pPr>
        <w:pStyle w:val="BodyText"/>
      </w:pPr>
      <w:r w:rsidRPr="00F047AB">
        <w:t>Obtain cores as soon as the pavement has cooled sufficiently to allow coring, but not later than 12 hours after final rolling.</w:t>
      </w:r>
    </w:p>
    <w:p w:rsidR="00AE2AB2" w:rsidRPr="00AE2AB2" w:rsidRDefault="00AE2AB2" w:rsidP="00AE2AB2">
      <w:pPr>
        <w:pStyle w:val="Directions"/>
        <w:rPr>
          <w:rStyle w:val="DirectionsInfo"/>
        </w:rPr>
      </w:pPr>
      <w:r w:rsidRPr="00AE2AB2">
        <w:rPr>
          <w:rStyle w:val="DirectionsInfo"/>
        </w:rPr>
        <w:t>WFL Specification 03/01/19</w:t>
      </w:r>
      <w:r w:rsidR="00A54203">
        <w:rPr>
          <w:rStyle w:val="DirectionsInfo"/>
        </w:rPr>
        <w:tab/>
        <w:t>4010040</w:t>
      </w:r>
    </w:p>
    <w:p w:rsidR="00AE2AB2" w:rsidRPr="00AE2AB2" w:rsidRDefault="00AE2AB2" w:rsidP="00AE2AB2">
      <w:pPr>
        <w:pStyle w:val="Directions"/>
      </w:pPr>
      <w:r w:rsidRPr="00AE2AB2">
        <w:t>Include the following on all projects when:</w:t>
      </w:r>
    </w:p>
    <w:p w:rsidR="00AE2AB2" w:rsidRPr="00AE2AB2" w:rsidRDefault="00AE2AB2" w:rsidP="00AE2AB2">
      <w:pPr>
        <w:pStyle w:val="Directions"/>
      </w:pPr>
      <w:r w:rsidRPr="00AE2AB2">
        <w:t>1)</w:t>
      </w:r>
      <w:r w:rsidRPr="00AE2AB2">
        <w:tab/>
        <w:t>Type I, Type II, or Type III Pavement Roughness is required, and</w:t>
      </w:r>
    </w:p>
    <w:p w:rsidR="00AE2AB2" w:rsidRPr="00AE2AB2" w:rsidRDefault="00AE2AB2" w:rsidP="00AE2AB2">
      <w:pPr>
        <w:pStyle w:val="Directions"/>
      </w:pPr>
      <w:r w:rsidRPr="00AE2AB2">
        <w:t>2)</w:t>
      </w:r>
      <w:r w:rsidRPr="00AE2AB2">
        <w:tab/>
        <w:t>Roughness is evaluated by the government.</w:t>
      </w:r>
    </w:p>
    <w:p w:rsidR="00AE2AB2" w:rsidRPr="00AE2AB2" w:rsidRDefault="00AE2AB2" w:rsidP="00AE2AB2">
      <w:pPr>
        <w:pStyle w:val="Directions"/>
      </w:pPr>
      <w:r w:rsidRPr="00AE2AB2">
        <w:t>Coordinate with WFL Materials for Pavement Roughness Designation.</w:t>
      </w:r>
    </w:p>
    <w:p w:rsidR="00AE2AB2" w:rsidRPr="00AE2AB2" w:rsidRDefault="00AE2AB2" w:rsidP="00AE2AB2">
      <w:pPr>
        <w:pStyle w:val="Heading3"/>
        <w:rPr>
          <w:vanish/>
          <w:specVanish/>
        </w:rPr>
      </w:pPr>
      <w:r w:rsidRPr="00AE2AB2">
        <w:t xml:space="preserve">401.16 Pavement Roughness.  </w:t>
      </w:r>
    </w:p>
    <w:p w:rsidR="00AE2AB2" w:rsidRPr="00AE2AB2" w:rsidRDefault="00AE2AB2" w:rsidP="00AE2AB2">
      <w:pPr>
        <w:pStyle w:val="Instructions"/>
      </w:pPr>
      <w:r>
        <w:t xml:space="preserve"> </w:t>
      </w:r>
      <w:r w:rsidRPr="00AE2AB2">
        <w:t>Delete the text of this Subsection and substitute the following:</w:t>
      </w:r>
    </w:p>
    <w:p w:rsidR="00AE2AB2" w:rsidRPr="00AE2AB2" w:rsidRDefault="00AE2AB2" w:rsidP="00AE2AB2">
      <w:pPr>
        <w:pStyle w:val="BodyText"/>
      </w:pPr>
      <w:r w:rsidRPr="00AE2AB2">
        <w:t>Measure the profile of the pavement surface according to the designated pavement roughness type. In addition, construct pavement surfaces to meet the requirements of Subsection 401.16(e).</w:t>
      </w:r>
    </w:p>
    <w:p w:rsidR="00AE2AB2" w:rsidRPr="00AE2AB2" w:rsidRDefault="00AE2AB2" w:rsidP="00524273">
      <w:pPr>
        <w:pStyle w:val="Indent1"/>
      </w:pPr>
      <w:r w:rsidRPr="00AE2AB2">
        <w:rPr>
          <w:b/>
          <w:bCs/>
        </w:rPr>
        <w:t>(a) Profile measurement.</w:t>
      </w:r>
      <w:r w:rsidRPr="00AE2AB2">
        <w:t xml:space="preserve"> The CO will use profile measurements to determine the Mean Roughness Index (MRI) values for the traveled way using the current version of Profile Viewer and Analysis (ProVAL) software. The CO will also determine areas of localized roughness. The MRI and areas of localized roughness will be used to determine payment for the designated pavement roughness type and pavement areas requiring surface corrections.</w:t>
      </w:r>
    </w:p>
    <w:p w:rsidR="00AE2AB2" w:rsidRPr="00AE2AB2" w:rsidRDefault="00AE2AB2" w:rsidP="00524273">
      <w:pPr>
        <w:pStyle w:val="Indent2"/>
      </w:pPr>
      <w:r w:rsidRPr="00AE2AB2">
        <w:rPr>
          <w:b/>
        </w:rPr>
        <w:t>(1) Equipment.</w:t>
      </w:r>
      <w:r w:rsidRPr="00AE2AB2">
        <w:t xml:space="preserve"> The CO will provide and operate an ASTM E950, Class 1 inertial profiling system conforming to AASHTO M 328 and certified according to AASHTO R 56.</w:t>
      </w:r>
    </w:p>
    <w:p w:rsidR="00AE2AB2" w:rsidRPr="00AE2AB2" w:rsidRDefault="00AE2AB2" w:rsidP="00524273">
      <w:pPr>
        <w:pStyle w:val="Indent2"/>
      </w:pPr>
      <w:r w:rsidRPr="00AE2AB2">
        <w:rPr>
          <w:b/>
        </w:rPr>
        <w:t>(2) Personnel.</w:t>
      </w:r>
      <w:r w:rsidRPr="00AE2AB2">
        <w:t xml:space="preserve"> Furnish flaggers, pilot car operations, or other temporary traffic control according to Section 635 as required.</w:t>
      </w:r>
    </w:p>
    <w:p w:rsidR="00AE2AB2" w:rsidRPr="00AE2AB2" w:rsidRDefault="00AE2AB2" w:rsidP="00524273">
      <w:pPr>
        <w:pStyle w:val="Indent2"/>
      </w:pPr>
      <w:r w:rsidRPr="00AE2AB2">
        <w:rPr>
          <w:b/>
        </w:rPr>
        <w:t>(3) Measuring.</w:t>
      </w:r>
      <w:r w:rsidRPr="00AE2AB2">
        <w:t xml:space="preserve"> The CO will identify the beginning and ending points of the profile measurements. The pavement profile will be measured in both wheel paths using a sensor path spacing of 65 - 71 inches (1650 </w:t>
      </w:r>
      <w:r w:rsidRPr="00AE2AB2">
        <w:noBreakHyphen/>
        <w:t xml:space="preserve"> 1800 millimeters) and centered in the traveled way of the lane. The inertial profiler will be operated according to AASHTO R 57 and the manufacturer’s recommendations. Filters will not be applied when collecting profile data. Filtering will be applied during profile analysis in ProVAL. Profile data (elevation and distance) will be collected at a maximum interval of 2 inches (50 millimeters). A lead-in </w:t>
      </w:r>
      <w:r w:rsidRPr="00AE2AB2">
        <w:lastRenderedPageBreak/>
        <w:t>distance of at least 150 feet (45 meters) after reaching the testing speed will be provided and the profiler’s automatic start/stop activation will be used when collecting data.</w:t>
      </w:r>
    </w:p>
    <w:p w:rsidR="00AE2AB2" w:rsidRPr="00AE2AB2" w:rsidRDefault="00AE2AB2" w:rsidP="00524273">
      <w:pPr>
        <w:pStyle w:val="Indent2"/>
      </w:pPr>
      <w:r w:rsidRPr="00AE2AB2">
        <w:t xml:space="preserve">The CO will identify excluded areas. Cattle guards, bridges not being overlaid, and turning lanes, passing lanes, side roads, and ramps less than 1,000 feet (300 meters) in length will be excluded from profile measurement, the calculation of MRI, and the determination of localized roughness. Event markers will be used to mark areas to be excluded from profile measurement. </w:t>
      </w:r>
    </w:p>
    <w:p w:rsidR="00AE2AB2" w:rsidRPr="00AE2AB2" w:rsidRDefault="00AE2AB2" w:rsidP="00524273">
      <w:pPr>
        <w:pStyle w:val="Indent2"/>
      </w:pPr>
      <w:r w:rsidRPr="00AE2AB2">
        <w:t>The CO will not measure excluded areas. Measure excluded areas with a straightedge according to Subsection 401.16(e).</w:t>
      </w:r>
    </w:p>
    <w:p w:rsidR="00AE2AB2" w:rsidRPr="00AE2AB2" w:rsidRDefault="00AE2AB2" w:rsidP="00524273">
      <w:pPr>
        <w:pStyle w:val="Indent2"/>
      </w:pPr>
      <w:r w:rsidRPr="00AE2AB2">
        <w:rPr>
          <w:b/>
        </w:rPr>
        <w:t>(4) Evaluation.</w:t>
      </w:r>
      <w:r w:rsidRPr="00AE2AB2">
        <w:t xml:space="preserve"> The CO will review and analyze profile measurements. The MRI will be calculated from profile measurements using ProVAL.</w:t>
      </w:r>
    </w:p>
    <w:p w:rsidR="00AE2AB2" w:rsidRPr="00AE2AB2" w:rsidRDefault="00AE2AB2" w:rsidP="00524273">
      <w:pPr>
        <w:pStyle w:val="Indent2"/>
      </w:pPr>
      <w:r w:rsidRPr="00AE2AB2">
        <w:t>Using ProVAL, a high pass filter length of 300 feet (90 meters) and a low pass filter of 10 inches (250 millimeters) will be applied to the profiles. Individual MRI values are determined by averaging the IRI value from each wheel path. Fixed interval MRI values are reported as an average of the individual MRI values over the fixed interval length. An overall MRI value will be determined by averaging the individual MRI values, excluding segments less than 25 feet (7.62 meters) for Type I and Type II pavement roughness or 528 feet (161 meters) for Type III pavement roughness.</w:t>
      </w:r>
    </w:p>
    <w:p w:rsidR="00AE2AB2" w:rsidRPr="00AE2AB2" w:rsidRDefault="00AE2AB2" w:rsidP="00524273">
      <w:pPr>
        <w:pStyle w:val="Indent2"/>
      </w:pPr>
      <w:r w:rsidRPr="00AE2AB2">
        <w:t>Areas of localized roughness will be identified by using ProVAL’s continuous MRI function with a segment length of 25 feet (7.62 meters). This will yield an average MRI value and a length for each area of localized roughness which exceeds the localized roughness threshold value of every possible 25-foot (7.62-meter) segment. Areas for which the continuous report exceeds the threshold MRI value for the specified roughness type will be considered a defective area requiring correction. When corrections are not allowed, a reduction in payment will be applied according to Subsection 401.16(f). No deduction will be made for areas of localized roughness identified within 12.5 feet (3.81 meters) of the beginning or end of a profile section or within 12.5 feet (3.81 meters) of excluded areas. Measure these areas with a straightedge according to Subsection 401.16(e).</w:t>
      </w:r>
    </w:p>
    <w:p w:rsidR="00AE2AB2" w:rsidRPr="00AE2AB2" w:rsidRDefault="00AE2AB2" w:rsidP="00524273">
      <w:pPr>
        <w:pStyle w:val="Indent2"/>
      </w:pPr>
      <w:r w:rsidRPr="00AE2AB2">
        <w:t>Correct areas of localized roughness according to Subsection 401.16(g).</w:t>
      </w:r>
    </w:p>
    <w:p w:rsidR="00AE2AB2" w:rsidRPr="00AE2AB2" w:rsidRDefault="00AE2AB2" w:rsidP="00524273">
      <w:pPr>
        <w:pStyle w:val="Indent1"/>
      </w:pPr>
      <w:r w:rsidRPr="00AE2AB2">
        <w:rPr>
          <w:b/>
        </w:rPr>
        <w:t>(b)</w:t>
      </w:r>
      <w:r w:rsidRPr="00AE2AB2">
        <w:t xml:space="preserve"> </w:t>
      </w:r>
      <w:r w:rsidRPr="00AE2AB2">
        <w:rPr>
          <w:b/>
        </w:rPr>
        <w:t>Type I pavement roughness.</w:t>
      </w:r>
      <w:r w:rsidRPr="00AE2AB2">
        <w:t xml:space="preserve"> The CO will measure the profile of the initial pavement surface before construction activities disturb the existing pavement surface. The initial pavement surface is defined as the existing pavement surface before construction activities begin. The localized roughness threshold computed to the nearest whole number for Type I pavement roughness is equal to the following:</w:t>
      </w:r>
    </w:p>
    <w:p w:rsidR="00AE2AB2" w:rsidRPr="00AE2AB2" w:rsidRDefault="00AE2AB2" w:rsidP="00F04E5B">
      <w:pPr>
        <w:pStyle w:val="Indent2"/>
      </w:pPr>
      <w:r w:rsidRPr="00AE2AB2">
        <w:t>Localized Roughness Threshold = Initial Overall MRI + 1.881(S</w:t>
      </w:r>
      <w:r w:rsidRPr="00AE2AB2">
        <w:rPr>
          <w:vertAlign w:val="subscript"/>
        </w:rPr>
        <w:t>25</w:t>
      </w:r>
      <w:r w:rsidRPr="00AE2AB2">
        <w:t>)</w:t>
      </w:r>
    </w:p>
    <w:p w:rsidR="00AE2AB2" w:rsidRPr="00AE2AB2" w:rsidRDefault="00AE2AB2" w:rsidP="00F04E5B">
      <w:pPr>
        <w:pStyle w:val="Indent2"/>
      </w:pPr>
      <w:r w:rsidRPr="00AE2AB2">
        <w:t>where:</w:t>
      </w:r>
    </w:p>
    <w:p w:rsidR="00AE2AB2" w:rsidRPr="00AE2AB2" w:rsidRDefault="00AE2AB2" w:rsidP="00F04E5B">
      <w:pPr>
        <w:pStyle w:val="Indent2"/>
      </w:pPr>
      <w:r w:rsidRPr="00AE2AB2">
        <w:t>Initial Overall MRI = MRI obtained before construction activities begin.</w:t>
      </w:r>
    </w:p>
    <w:p w:rsidR="00AE2AB2" w:rsidRPr="00AE2AB2" w:rsidRDefault="00AE2AB2" w:rsidP="00F04E5B">
      <w:pPr>
        <w:pStyle w:val="Indent2"/>
      </w:pPr>
      <w:r w:rsidRPr="00AE2AB2">
        <w:t>S</w:t>
      </w:r>
      <w:r w:rsidRPr="00AE2AB2">
        <w:rPr>
          <w:vertAlign w:val="subscript"/>
        </w:rPr>
        <w:t>25</w:t>
      </w:r>
      <w:r w:rsidRPr="00AE2AB2">
        <w:t xml:space="preserve"> = sample standard deviation of the 25 foot (7.62 meters) fixed interval MRI values.</w:t>
      </w:r>
    </w:p>
    <w:p w:rsidR="00AE2AB2" w:rsidRPr="00AE2AB2" w:rsidRDefault="00AE2AB2" w:rsidP="00F04E5B">
      <w:pPr>
        <w:pStyle w:val="Indent1"/>
      </w:pPr>
      <w:r w:rsidRPr="00AE2AB2">
        <w:lastRenderedPageBreak/>
        <w:t>Do not proceed with work that will disturb the initial pavement surface until the CO’s analysis is complete.</w:t>
      </w:r>
    </w:p>
    <w:p w:rsidR="00AE2AB2" w:rsidRPr="00AE2AB2" w:rsidRDefault="00AE2AB2" w:rsidP="00F04E5B">
      <w:pPr>
        <w:pStyle w:val="Indent1"/>
      </w:pPr>
      <w:r w:rsidRPr="00AE2AB2">
        <w:t>The CO will measure the profile of the final pavement surface before placing a surface treatment and within 21 days of completing roadway paving. The original overall surface MRI will be used in conjunction with the final overall MRI to determine an overall percent improvement for the entire traveled way.</w:t>
      </w:r>
    </w:p>
    <w:p w:rsidR="00AE2AB2" w:rsidRPr="00AE2AB2" w:rsidRDefault="00AE2AB2" w:rsidP="00F04E5B">
      <w:pPr>
        <w:pStyle w:val="Indent1"/>
      </w:pPr>
      <w:r w:rsidRPr="00AE2AB2">
        <w:t>The overall percent improvement in MRI will be determined to one decimal place for the traveled way according to the following formula:</w:t>
      </w:r>
    </w:p>
    <w:p w:rsidR="00AE2AB2" w:rsidRPr="00AE2AB2" w:rsidRDefault="00AE2AB2" w:rsidP="00F04E5B">
      <w:pPr>
        <w:pStyle w:val="Indent2"/>
      </w:pPr>
      <w:r w:rsidRPr="00AE2AB2">
        <w:t>% Improvement = [(Initial Overall MRI – Final Overall MRI) / Initial Overall MRI] × 100</w:t>
      </w:r>
    </w:p>
    <w:p w:rsidR="00AE2AB2" w:rsidRPr="00AE2AB2" w:rsidRDefault="00AE2AB2" w:rsidP="00F04E5B">
      <w:pPr>
        <w:pStyle w:val="Indent1"/>
      </w:pPr>
      <w:r w:rsidRPr="00AE2AB2">
        <w:t>Table 401-3 will be used to determine the final pay factor (PFrough) for the traveled way to two decimal places. When the percent improvement is less than 25.0 percent and the final overall MRI value is less than or equal to 70.0 inches per mile (1.105 meters per kilometer), Type III-A from Table 401-5 will be used to determine the final PFrough.</w:t>
      </w:r>
    </w:p>
    <w:p w:rsidR="00FA34AC" w:rsidRPr="00AE2AB2" w:rsidRDefault="00AE2AB2" w:rsidP="00F04E5B">
      <w:pPr>
        <w:pStyle w:val="Indent1"/>
      </w:pPr>
      <w:r w:rsidRPr="00AE2AB2">
        <w:t>Correct areas of localized roughness according to Subsection 401.16(g). If a pavement has an overall negative 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6"/>
      </w:tblGrid>
      <w:tr w:rsidR="003D2325" w:rsidRPr="003D2325" w:rsidTr="002A42F4">
        <w:trPr>
          <w:trHeight w:val="296"/>
          <w:jc w:val="center"/>
        </w:trPr>
        <w:tc>
          <w:tcPr>
            <w:tcW w:w="5166" w:type="dxa"/>
            <w:tcBorders>
              <w:top w:val="single" w:sz="4" w:space="0" w:color="auto"/>
              <w:left w:val="single" w:sz="4" w:space="0" w:color="auto"/>
              <w:bottom w:val="single" w:sz="2" w:space="0" w:color="auto"/>
              <w:right w:val="single" w:sz="4" w:space="0" w:color="auto"/>
            </w:tcBorders>
            <w:vAlign w:val="center"/>
          </w:tcPr>
          <w:p w:rsidR="003D2325" w:rsidRPr="003D2325" w:rsidRDefault="003D2325" w:rsidP="003D2325">
            <w:pPr>
              <w:pStyle w:val="Caption"/>
            </w:pPr>
            <w:r w:rsidRPr="003D2325">
              <w:lastRenderedPageBreak/>
              <w:br w:type="page"/>
              <w:t>Table 401-3</w:t>
            </w:r>
          </w:p>
          <w:p w:rsidR="003D2325" w:rsidRPr="003D2325" w:rsidRDefault="003D2325" w:rsidP="003D2325">
            <w:pPr>
              <w:pStyle w:val="Caption"/>
            </w:pPr>
            <w:r w:rsidRPr="003D2325">
              <w:t>Type I Pavement Roughness Pay Factors</w:t>
            </w:r>
          </w:p>
        </w:tc>
      </w:tr>
    </w:tbl>
    <w:tbl>
      <w:tblPr>
        <w:tblStyle w:val="TableSCR2"/>
        <w:tblW w:w="0" w:type="auto"/>
        <w:tblLayout w:type="fixed"/>
        <w:tblLook w:val="0020" w:firstRow="1" w:lastRow="0" w:firstColumn="0" w:lastColumn="0" w:noHBand="0" w:noVBand="0"/>
      </w:tblPr>
      <w:tblGrid>
        <w:gridCol w:w="3006"/>
        <w:gridCol w:w="2160"/>
      </w:tblGrid>
      <w:tr w:rsidR="003D2325" w:rsidRPr="003D2325" w:rsidTr="002A42F4">
        <w:trPr>
          <w:cnfStyle w:val="100000000000" w:firstRow="1" w:lastRow="0" w:firstColumn="0" w:lastColumn="0" w:oddVBand="0" w:evenVBand="0" w:oddHBand="0" w:evenHBand="0" w:firstRowFirstColumn="0" w:firstRowLastColumn="0" w:lastRowFirstColumn="0" w:lastRowLastColumn="0"/>
          <w:trHeight w:val="296"/>
          <w:tblHeader/>
        </w:trPr>
        <w:tc>
          <w:tcPr>
            <w:tcW w:w="3006" w:type="dxa"/>
            <w:tcBorders>
              <w:bottom w:val="single" w:sz="6" w:space="0" w:color="auto"/>
            </w:tcBorders>
          </w:tcPr>
          <w:p w:rsidR="003D2325" w:rsidRPr="003D2325" w:rsidRDefault="003D2325" w:rsidP="003D2325">
            <w:r w:rsidRPr="003D2325">
              <w:t>Type I-A</w:t>
            </w:r>
          </w:p>
        </w:tc>
        <w:tc>
          <w:tcPr>
            <w:tcW w:w="2160" w:type="dxa"/>
            <w:tcBorders>
              <w:bottom w:val="single" w:sz="6" w:space="0" w:color="auto"/>
            </w:tcBorders>
          </w:tcPr>
          <w:p w:rsidR="003D2325" w:rsidRPr="003D2325" w:rsidRDefault="003D2325" w:rsidP="003D2325"/>
        </w:tc>
      </w:tr>
      <w:tr w:rsidR="003D2325" w:rsidRPr="003D2325" w:rsidTr="002A42F4">
        <w:trPr>
          <w:cnfStyle w:val="100000000000" w:firstRow="1" w:lastRow="0" w:firstColumn="0" w:lastColumn="0" w:oddVBand="0" w:evenVBand="0" w:oddHBand="0" w:evenHBand="0" w:firstRowFirstColumn="0" w:firstRowLastColumn="0" w:lastRowFirstColumn="0" w:lastRowLastColumn="0"/>
          <w:trHeight w:val="576"/>
          <w:tblHeader/>
        </w:trPr>
        <w:tc>
          <w:tcPr>
            <w:tcW w:w="3006" w:type="dxa"/>
            <w:tcBorders>
              <w:top w:val="single" w:sz="6" w:space="0" w:color="auto"/>
            </w:tcBorders>
          </w:tcPr>
          <w:p w:rsidR="003D2325" w:rsidRPr="003D2325" w:rsidRDefault="003D2325" w:rsidP="003D2325">
            <w:r w:rsidRPr="003D2325">
              <w:t>Percent Improvement</w:t>
            </w:r>
          </w:p>
          <w:p w:rsidR="003D2325" w:rsidRPr="003D2325" w:rsidRDefault="003D2325" w:rsidP="003D2325">
            <w:r w:rsidRPr="003D2325">
              <w:t>(%)</w:t>
            </w:r>
          </w:p>
        </w:tc>
        <w:tc>
          <w:tcPr>
            <w:tcW w:w="2160" w:type="dxa"/>
            <w:tcBorders>
              <w:top w:val="single" w:sz="6" w:space="0" w:color="auto"/>
            </w:tcBorders>
          </w:tcPr>
          <w:p w:rsidR="003D2325" w:rsidRPr="003D2325" w:rsidRDefault="003D2325" w:rsidP="003D2325">
            <w:r w:rsidRPr="003D2325">
              <w:t>Pay Factor</w:t>
            </w:r>
          </w:p>
          <w:p w:rsidR="003D2325" w:rsidRPr="003D2325" w:rsidRDefault="003D2325" w:rsidP="003D2325">
            <w:r w:rsidRPr="003D2325">
              <w:t>(PF</w:t>
            </w:r>
            <w:r w:rsidRPr="003D2325">
              <w:rPr>
                <w:vertAlign w:val="subscript"/>
              </w:rPr>
              <w:t>rough</w:t>
            </w:r>
            <w:r w:rsidRPr="003D2325">
              <w:t>)</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2"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Greater than 50.0</w:t>
            </w:r>
          </w:p>
        </w:tc>
        <w:tc>
          <w:tcPr>
            <w:tcW w:w="2160" w:type="dxa"/>
            <w:tcBorders>
              <w:top w:val="single" w:sz="2"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1.05</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47.6 – 50.0</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1.04</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45.1 – 47.5</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1.03</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43.6 – 45.0</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1.02</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42.1 – 43.5</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1.01</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25.0 – 42.0</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1.00</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24.0 – 24.9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0.99</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23.0 – 23.9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0.98</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22.0 – 22.9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0.97</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21.0 – 21.9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0.96</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20.0 – 20.9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0.95</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19.0 – 19.9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0.94</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18.0 – 18.9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0.93</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17.0 – 17.9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0.92</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16.0 – 16.9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0.91</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15.0 – 15.9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0.90</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14.0 – 14.9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0.89</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13.0 – 13.9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0.88</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12.0 – 12.9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0.87</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11.0 – 11.9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0.86</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10.0 – 10.9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0.85</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5.0 – 9.9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0.80</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0.0 – 4.9</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pPr>
              <w:keepNext/>
            </w:pPr>
            <w:r w:rsidRPr="003D2325">
              <w:t>PF = 0.70</w:t>
            </w:r>
          </w:p>
        </w:tc>
      </w:tr>
      <w:tr w:rsidR="003D2325" w:rsidRPr="003D2325"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3006"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r w:rsidRPr="003D2325">
              <w:t>Negative % Improvement</w:t>
            </w:r>
          </w:p>
        </w:tc>
        <w:tc>
          <w:tcPr>
            <w:tcW w:w="2160" w:type="dxa"/>
            <w:tcBorders>
              <w:top w:val="single" w:sz="4" w:space="0" w:color="auto"/>
              <w:left w:val="single" w:sz="4" w:space="0" w:color="auto"/>
              <w:bottom w:val="single" w:sz="4" w:space="0" w:color="auto"/>
              <w:right w:val="single" w:sz="4" w:space="0" w:color="auto"/>
            </w:tcBorders>
            <w:vAlign w:val="center"/>
          </w:tcPr>
          <w:p w:rsidR="003D2325" w:rsidRPr="003D2325" w:rsidRDefault="003D2325" w:rsidP="003D2325">
            <w:r w:rsidRPr="003D2325">
              <w:t>Correct &amp; overlay</w:t>
            </w:r>
          </w:p>
        </w:tc>
      </w:tr>
    </w:tbl>
    <w:p w:rsidR="00FA34AC" w:rsidRPr="00FA34AC" w:rsidRDefault="00FA34AC" w:rsidP="00FA34AC">
      <w:pPr>
        <w:pStyle w:val="Indent1"/>
      </w:pPr>
      <w:r w:rsidRPr="00FA34AC">
        <w:rPr>
          <w:b/>
          <w:bCs/>
        </w:rPr>
        <w:t>(c) Type II pavement roughness.</w:t>
      </w:r>
      <w:r w:rsidRPr="00FA34AC">
        <w:rPr>
          <w:bCs/>
        </w:rPr>
        <w:t xml:space="preserve"> The CO will m</w:t>
      </w:r>
      <w:r w:rsidRPr="00FA34AC">
        <w:t>easure the profile of the initial pavement surface before construction activities disturb the pavement surface. The initial pavement surface is defined as the original existing pavement surface before construction activities begin. The localized roughness threshold computed to the nearest whole number for Type II pavement roughness is equal to the following:</w:t>
      </w:r>
    </w:p>
    <w:p w:rsidR="00FA34AC" w:rsidRPr="00FA34AC" w:rsidRDefault="00FA34AC" w:rsidP="00FA34AC">
      <w:pPr>
        <w:pStyle w:val="Indent2"/>
      </w:pPr>
      <w:r w:rsidRPr="00FA34AC">
        <w:t>Localized Roughness Threshold = Initial Overall MRI + 1.282(S</w:t>
      </w:r>
      <w:r w:rsidRPr="00FA34AC">
        <w:rPr>
          <w:vertAlign w:val="subscript"/>
        </w:rPr>
        <w:t>25</w:t>
      </w:r>
      <w:r w:rsidRPr="00FA34AC">
        <w:t>)</w:t>
      </w:r>
    </w:p>
    <w:p w:rsidR="00FA34AC" w:rsidRPr="00FA34AC" w:rsidRDefault="00FA34AC" w:rsidP="00FA34AC">
      <w:pPr>
        <w:pStyle w:val="Indent2"/>
      </w:pPr>
      <w:r w:rsidRPr="00FA34AC">
        <w:lastRenderedPageBreak/>
        <w:t>where:</w:t>
      </w:r>
    </w:p>
    <w:p w:rsidR="00FA34AC" w:rsidRPr="00FA34AC" w:rsidRDefault="00FA34AC" w:rsidP="00FA34AC">
      <w:pPr>
        <w:pStyle w:val="Indent3"/>
      </w:pPr>
      <w:r w:rsidRPr="00FA34AC">
        <w:t>Initial Overall MRI = MRI obtained before construction activities begin.</w:t>
      </w:r>
    </w:p>
    <w:p w:rsidR="00FA34AC" w:rsidRPr="00FA34AC" w:rsidRDefault="00FA34AC" w:rsidP="00FA34AC">
      <w:pPr>
        <w:pStyle w:val="Indent3"/>
      </w:pPr>
      <w:r w:rsidRPr="00FA34AC">
        <w:t>(S</w:t>
      </w:r>
      <w:r w:rsidRPr="00FA34AC">
        <w:rPr>
          <w:vertAlign w:val="subscript"/>
        </w:rPr>
        <w:t>25</w:t>
      </w:r>
      <w:r w:rsidRPr="00FA34AC">
        <w:t>) = sample standard deviation of the 25-foot (7.62-meter) fixed interval MRI values.</w:t>
      </w:r>
    </w:p>
    <w:p w:rsidR="00FA34AC" w:rsidRPr="00FA34AC" w:rsidRDefault="00FA34AC" w:rsidP="00FA34AC">
      <w:pPr>
        <w:pStyle w:val="Indent1"/>
      </w:pPr>
      <w:r w:rsidRPr="00FA34AC">
        <w:t>Do not proceed with work that will disturb the initial pavement surface until the CO’s analysis is complete.</w:t>
      </w:r>
    </w:p>
    <w:p w:rsidR="00FA34AC" w:rsidRPr="00FA34AC" w:rsidRDefault="00FA34AC" w:rsidP="00FA34AC">
      <w:pPr>
        <w:pStyle w:val="Indent1"/>
      </w:pPr>
      <w:r w:rsidRPr="00FA34AC">
        <w:t>The CO will measure the profile of the final pavement surface before placing a surface treatment and within 21 days of completing roadway paving. The original overall surface MRI will be used in conjunction with the final overall MRI to determine an overall percent improvement for the entire traveled way.</w:t>
      </w:r>
    </w:p>
    <w:p w:rsidR="00FA34AC" w:rsidRPr="00FA34AC" w:rsidRDefault="00FA34AC" w:rsidP="00FA34AC">
      <w:pPr>
        <w:pStyle w:val="Indent1"/>
      </w:pPr>
      <w:r w:rsidRPr="00FA34AC">
        <w:t>The overall percent improvement in MRI will be determined to one decimal place for the traveled way according to the following formula:</w:t>
      </w:r>
    </w:p>
    <w:p w:rsidR="00FA34AC" w:rsidRPr="00FA34AC" w:rsidRDefault="00FA34AC" w:rsidP="00FA34AC">
      <w:pPr>
        <w:pStyle w:val="Indent2"/>
      </w:pPr>
      <w:r w:rsidRPr="00FA34AC">
        <w:t>% Improvement = [(Initial Overall MRI – Final Overall MRI) / Initial Overall MRI] × 100</w:t>
      </w:r>
    </w:p>
    <w:p w:rsidR="00FA34AC" w:rsidRPr="00FA34AC" w:rsidRDefault="00FA34AC" w:rsidP="00FA34AC">
      <w:pPr>
        <w:pStyle w:val="Indent1"/>
      </w:pPr>
      <w:r w:rsidRPr="00FA34AC">
        <w:t>Table 401-4 will be used to determine the final PF</w:t>
      </w:r>
      <w:r w:rsidRPr="00FA34AC">
        <w:rPr>
          <w:vertAlign w:val="subscript"/>
        </w:rPr>
        <w:t>rough</w:t>
      </w:r>
      <w:r w:rsidRPr="00FA34AC">
        <w:t xml:space="preserve"> for the traveled way to two decimal places. When the percent improvement is less than 49.0 percent and the final overall MRI value is less than or equal to 70.0 inches per mile (1.105 meters per kilometer), Type III-A from Table 401-5 will be used to determine the final PF</w:t>
      </w:r>
      <w:r w:rsidRPr="00FA34AC">
        <w:rPr>
          <w:vertAlign w:val="subscript"/>
        </w:rPr>
        <w:t>rough</w:t>
      </w:r>
      <w:r w:rsidRPr="00FA34AC">
        <w:t>.</w:t>
      </w:r>
    </w:p>
    <w:p w:rsidR="00E101FE" w:rsidRPr="00FA34AC" w:rsidRDefault="00FA34AC" w:rsidP="00FA34AC">
      <w:pPr>
        <w:pStyle w:val="BodyText"/>
      </w:pPr>
      <w:r w:rsidRPr="00FA34AC">
        <w:t>Correct areas of localized roughness according to Subsection 401.16(g). If a pavement has less than a 10.0 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tblGrid>
      <w:tr w:rsidR="00662E17" w:rsidRPr="00662E17" w:rsidTr="002A42F4">
        <w:trPr>
          <w:trHeight w:val="576"/>
          <w:jc w:val="center"/>
        </w:trPr>
        <w:tc>
          <w:tcPr>
            <w:tcW w:w="5112"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662E17" w:rsidRPr="00662E17" w:rsidRDefault="00662E17" w:rsidP="00662E17">
            <w:pPr>
              <w:pStyle w:val="Caption"/>
            </w:pPr>
            <w:r w:rsidRPr="00662E17">
              <w:rPr>
                <w:color w:val="000000"/>
              </w:rPr>
              <w:lastRenderedPageBreak/>
              <w:br w:type="page"/>
            </w:r>
            <w:r w:rsidRPr="00662E17">
              <w:t>Table 401-4</w:t>
            </w:r>
          </w:p>
          <w:p w:rsidR="00662E17" w:rsidRPr="00662E17" w:rsidRDefault="00662E17" w:rsidP="00662E17">
            <w:pPr>
              <w:pStyle w:val="Caption"/>
            </w:pPr>
            <w:r w:rsidRPr="00662E17">
              <w:t>Type II Pavement Roughness Pay Factors</w:t>
            </w:r>
          </w:p>
        </w:tc>
      </w:tr>
    </w:tbl>
    <w:tbl>
      <w:tblPr>
        <w:tblStyle w:val="TableSCR3"/>
        <w:tblW w:w="0" w:type="auto"/>
        <w:tblLayout w:type="fixed"/>
        <w:tblLook w:val="0020" w:firstRow="1" w:lastRow="0" w:firstColumn="0" w:lastColumn="0" w:noHBand="0" w:noVBand="0"/>
      </w:tblPr>
      <w:tblGrid>
        <w:gridCol w:w="2916"/>
        <w:gridCol w:w="2196"/>
      </w:tblGrid>
      <w:tr w:rsidR="00662E17" w:rsidRPr="00662E17" w:rsidTr="002A42F4">
        <w:trPr>
          <w:cnfStyle w:val="100000000000" w:firstRow="1" w:lastRow="0" w:firstColumn="0" w:lastColumn="0" w:oddVBand="0" w:evenVBand="0" w:oddHBand="0" w:evenHBand="0" w:firstRowFirstColumn="0" w:firstRowLastColumn="0" w:lastRowFirstColumn="0" w:lastRowLastColumn="0"/>
          <w:tblHeader/>
        </w:trPr>
        <w:tc>
          <w:tcPr>
            <w:tcW w:w="2916" w:type="dxa"/>
            <w:tcBorders>
              <w:top w:val="single" w:sz="6" w:space="0" w:color="auto"/>
              <w:bottom w:val="single" w:sz="6" w:space="0" w:color="auto"/>
            </w:tcBorders>
          </w:tcPr>
          <w:p w:rsidR="00662E17" w:rsidRPr="00662E17" w:rsidRDefault="00662E17" w:rsidP="00662E17">
            <w:r w:rsidRPr="00662E17">
              <w:t>Type II-A</w:t>
            </w:r>
          </w:p>
        </w:tc>
        <w:tc>
          <w:tcPr>
            <w:tcW w:w="2196" w:type="dxa"/>
            <w:tcBorders>
              <w:top w:val="single" w:sz="6" w:space="0" w:color="auto"/>
              <w:bottom w:val="single" w:sz="6" w:space="0" w:color="auto"/>
            </w:tcBorders>
          </w:tcPr>
          <w:p w:rsidR="00662E17" w:rsidRPr="00662E17" w:rsidRDefault="00662E17" w:rsidP="00662E17"/>
        </w:tc>
      </w:tr>
      <w:tr w:rsidR="00662E17" w:rsidRPr="00662E17" w:rsidTr="002A42F4">
        <w:trPr>
          <w:cnfStyle w:val="100000000000" w:firstRow="1" w:lastRow="0" w:firstColumn="0" w:lastColumn="0" w:oddVBand="0" w:evenVBand="0" w:oddHBand="0" w:evenHBand="0" w:firstRowFirstColumn="0" w:firstRowLastColumn="0" w:lastRowFirstColumn="0" w:lastRowLastColumn="0"/>
          <w:trHeight w:val="576"/>
          <w:tblHeader/>
        </w:trPr>
        <w:tc>
          <w:tcPr>
            <w:tcW w:w="2916" w:type="dxa"/>
            <w:tcBorders>
              <w:top w:val="single" w:sz="6" w:space="0" w:color="auto"/>
            </w:tcBorders>
          </w:tcPr>
          <w:p w:rsidR="00662E17" w:rsidRPr="00662E17" w:rsidRDefault="00662E17" w:rsidP="00662E17">
            <w:r w:rsidRPr="00662E17">
              <w:t>Percent Improvement</w:t>
            </w:r>
          </w:p>
          <w:p w:rsidR="00662E17" w:rsidRPr="00662E17" w:rsidRDefault="00662E17" w:rsidP="00662E17">
            <w:r w:rsidRPr="00662E17">
              <w:t>(%)</w:t>
            </w:r>
          </w:p>
        </w:tc>
        <w:tc>
          <w:tcPr>
            <w:tcW w:w="2196" w:type="dxa"/>
            <w:tcBorders>
              <w:top w:val="single" w:sz="6" w:space="0" w:color="auto"/>
            </w:tcBorders>
          </w:tcPr>
          <w:p w:rsidR="00662E17" w:rsidRPr="00662E17" w:rsidRDefault="00662E17" w:rsidP="00662E17">
            <w:r w:rsidRPr="00662E17">
              <w:t>Pay Factor</w:t>
            </w:r>
          </w:p>
          <w:p w:rsidR="00662E17" w:rsidRPr="00662E17" w:rsidRDefault="00662E17" w:rsidP="00662E17">
            <w:r w:rsidRPr="00662E17">
              <w:t>(PF</w:t>
            </w:r>
            <w:r w:rsidRPr="00662E17">
              <w:rPr>
                <w:vertAlign w:val="subscript"/>
              </w:rPr>
              <w:t>rough</w:t>
            </w:r>
            <w:r w:rsidRPr="00662E17">
              <w:t>)</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2"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Greater than 60.0</w:t>
            </w:r>
          </w:p>
        </w:tc>
        <w:tc>
          <w:tcPr>
            <w:tcW w:w="2196" w:type="dxa"/>
            <w:tcBorders>
              <w:top w:val="single" w:sz="2"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1.05</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58.6 – 60.0</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1.04</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57.6 – 58.5</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1.03</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56.6 – 57.5</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1.02</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55.1 – 56.5</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1.01</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49.0 – 55.0</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1.00</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48.0 – 48.9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0.99</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47.0 – 47.9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0.98</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46.0 – 46.9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0.97</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45.0 – 45.9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0.96</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44.0 – 44.9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0.95</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43.0 – 43.9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0.94</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42.0 – 42.9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0.93</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41.0 – 41.9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0.92</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40.0 – 40.9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0.91</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38.0 – 39.9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0.90</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36.0 – 37.9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0.89</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35.0 – 35.9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0.88</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34.0 – 34.9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0.87</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33.0 – 33.9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0.86</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31.0 – 32.9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0.85</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25.0 – 30.9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0.80</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10.0 – 24.9</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pPr>
              <w:keepNext/>
            </w:pPr>
            <w:r w:rsidRPr="00662E17">
              <w:t>PF = 0.70</w:t>
            </w:r>
          </w:p>
        </w:tc>
      </w:tr>
      <w:tr w:rsidR="00662E17" w:rsidRPr="00662E17" w:rsidTr="002A42F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trHeight w:val="288"/>
        </w:trPr>
        <w:tc>
          <w:tcPr>
            <w:tcW w:w="291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r w:rsidRPr="00662E17">
              <w:t>Less than 10.0</w:t>
            </w:r>
          </w:p>
        </w:tc>
        <w:tc>
          <w:tcPr>
            <w:tcW w:w="2196" w:type="dxa"/>
            <w:tcBorders>
              <w:top w:val="single" w:sz="4" w:space="0" w:color="auto"/>
              <w:left w:val="single" w:sz="4" w:space="0" w:color="auto"/>
              <w:bottom w:val="single" w:sz="4" w:space="0" w:color="auto"/>
              <w:right w:val="single" w:sz="4" w:space="0" w:color="auto"/>
            </w:tcBorders>
            <w:vAlign w:val="center"/>
          </w:tcPr>
          <w:p w:rsidR="00662E17" w:rsidRPr="00662E17" w:rsidRDefault="00662E17" w:rsidP="00662E17">
            <w:r w:rsidRPr="00662E17">
              <w:t>Correct &amp; overlay</w:t>
            </w:r>
          </w:p>
        </w:tc>
      </w:tr>
    </w:tbl>
    <w:p w:rsidR="00536EFE" w:rsidRPr="00536EFE" w:rsidRDefault="00536EFE" w:rsidP="00536EFE">
      <w:pPr>
        <w:pStyle w:val="Indent1"/>
      </w:pPr>
      <w:r w:rsidRPr="00536EFE">
        <w:rPr>
          <w:b/>
        </w:rPr>
        <w:t>(d) Type III pavement roughness.</w:t>
      </w:r>
      <w:r w:rsidRPr="00536EFE">
        <w:t xml:space="preserve"> The CO will measure the profile of the final pavement surface before placing a surface treatment and within 21 days of completing roadway paving. Pay factors from Table 401-5 will be used in conjunction with the long continuous histogram printout from ProVAL’s Smoothness Assurance Analysis function and by utilizing a long continuous 528-foot (161-meter) segment length for analysis. The final PF</w:t>
      </w:r>
      <w:r w:rsidRPr="00536EFE">
        <w:rPr>
          <w:vertAlign w:val="subscript"/>
        </w:rPr>
        <w:t>rough</w:t>
      </w:r>
      <w:r w:rsidRPr="00536EFE">
        <w:t xml:space="preserve"> is equal to the sum of the products of the individual pay factors indicated in Table 401-5 multiplied by the ratio of individual lane miles (lane kilometers) to the overall project lane miles (lane </w:t>
      </w:r>
      <w:r w:rsidRPr="00536EFE">
        <w:lastRenderedPageBreak/>
        <w:t>kilometers) and by ProVAL’s corresponding histogram percentages, divided by 100. The final PF</w:t>
      </w:r>
      <w:r w:rsidRPr="00536EFE">
        <w:rPr>
          <w:vertAlign w:val="subscript"/>
        </w:rPr>
        <w:t>rough</w:t>
      </w:r>
      <w:r w:rsidRPr="00536EFE">
        <w:t xml:space="preserve"> will be determined to three decimal places.</w:t>
      </w:r>
    </w:p>
    <w:p w:rsidR="00536EFE" w:rsidRDefault="00536EFE" w:rsidP="00536EFE">
      <w:pPr>
        <w:pStyle w:val="Indent1"/>
      </w:pPr>
      <w:r w:rsidRPr="00536EFE">
        <w:t>If the final overall MRI for the entire traveled way is greater than the values shown in Table 401-5, correct the traveled way according to Subsection 401.16(g).</w:t>
      </w:r>
    </w:p>
    <w:p w:rsidR="00536EFE" w:rsidRPr="00536EFE" w:rsidRDefault="00536EFE" w:rsidP="00536EFE">
      <w:pPr>
        <w:pStyle w:val="Indent1"/>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600"/>
        <w:gridCol w:w="1420"/>
      </w:tblGrid>
      <w:tr w:rsidR="00536EFE" w:rsidRPr="00536EFE" w:rsidTr="002A42F4">
        <w:trPr>
          <w:trHeight w:val="288"/>
          <w:jc w:val="center"/>
        </w:trPr>
        <w:tc>
          <w:tcPr>
            <w:tcW w:w="5020" w:type="dxa"/>
            <w:gridSpan w:val="2"/>
            <w:vAlign w:val="center"/>
          </w:tcPr>
          <w:p w:rsidR="00536EFE" w:rsidRPr="00536EFE" w:rsidRDefault="00536EFE" w:rsidP="00536EFE">
            <w:pPr>
              <w:pStyle w:val="Caption"/>
            </w:pPr>
            <w:r w:rsidRPr="00536EFE">
              <w:rPr>
                <w:color w:val="000000"/>
              </w:rPr>
              <w:br w:type="page"/>
            </w:r>
            <w:r w:rsidRPr="00536EFE">
              <w:t>Table 401-5</w:t>
            </w:r>
          </w:p>
          <w:p w:rsidR="00536EFE" w:rsidRPr="00536EFE" w:rsidRDefault="00536EFE" w:rsidP="00536EFE">
            <w:pPr>
              <w:pStyle w:val="Caption"/>
            </w:pPr>
            <w:r w:rsidRPr="00536EFE">
              <w:t>Type III Pavement Roughness Pay Factors</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Mean Roughness Index</w:t>
            </w:r>
          </w:p>
          <w:p w:rsidR="00536EFE" w:rsidRPr="00536EFE" w:rsidRDefault="00536EFE" w:rsidP="00536EFE">
            <w:pPr>
              <w:keepNext/>
            </w:pPr>
            <w:r w:rsidRPr="00536EFE">
              <w:t>(MRI)</w:t>
            </w:r>
          </w:p>
          <w:p w:rsidR="00536EFE" w:rsidRPr="00536EFE" w:rsidRDefault="00536EFE" w:rsidP="00536EFE">
            <w:pPr>
              <w:keepNext/>
            </w:pPr>
            <w:r w:rsidRPr="00536EFE">
              <w:t>Type III-A</w:t>
            </w:r>
          </w:p>
          <w:p w:rsidR="00536EFE" w:rsidRPr="00536EFE" w:rsidRDefault="00536EFE" w:rsidP="00536EFE">
            <w:pPr>
              <w:keepNext/>
            </w:pPr>
            <w:r w:rsidRPr="00536EFE">
              <w:t>in/mi (m/km)</w:t>
            </w:r>
          </w:p>
        </w:tc>
        <w:tc>
          <w:tcPr>
            <w:tcW w:w="1420" w:type="dxa"/>
            <w:vAlign w:val="center"/>
          </w:tcPr>
          <w:p w:rsidR="00536EFE" w:rsidRPr="00536EFE" w:rsidRDefault="00536EFE" w:rsidP="00536EFE">
            <w:pPr>
              <w:keepNext/>
            </w:pPr>
            <w:r w:rsidRPr="00536EFE">
              <w:t>Pay Factor</w:t>
            </w:r>
          </w:p>
          <w:p w:rsidR="00536EFE" w:rsidRPr="00536EFE" w:rsidRDefault="00536EFE" w:rsidP="00536EFE">
            <w:pPr>
              <w:keepNext/>
            </w:pPr>
            <w:r w:rsidRPr="00536EFE">
              <w:t>(PF</w:t>
            </w:r>
            <w:r w:rsidRPr="00536EFE">
              <w:rPr>
                <w:vertAlign w:val="subscript"/>
              </w:rPr>
              <w:t>rough</w:t>
            </w:r>
            <w:r w:rsidRPr="00536EFE">
              <w:t>)</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Localized roughness threshold</w:t>
            </w:r>
          </w:p>
          <w:p w:rsidR="00536EFE" w:rsidRPr="00536EFE" w:rsidRDefault="00536EFE" w:rsidP="00536EFE">
            <w:pPr>
              <w:keepNext/>
            </w:pPr>
            <w:r w:rsidRPr="00536EFE">
              <w:t>140 in/mi (2.210 m/km)</w:t>
            </w:r>
          </w:p>
        </w:tc>
        <w:tc>
          <w:tcPr>
            <w:tcW w:w="1420" w:type="dxa"/>
            <w:vAlign w:val="center"/>
          </w:tcPr>
          <w:p w:rsidR="00536EFE" w:rsidRPr="00536EFE" w:rsidRDefault="00536EFE" w:rsidP="00536EFE">
            <w:pPr>
              <w:keepNext/>
            </w:pP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If MRI of entire roadway</w:t>
            </w:r>
          </w:p>
          <w:p w:rsidR="00536EFE" w:rsidRPr="00536EFE" w:rsidRDefault="00536EFE" w:rsidP="00536EFE">
            <w:pPr>
              <w:keepNext/>
            </w:pPr>
            <w:r w:rsidRPr="00536EFE">
              <w:t>is greater than</w:t>
            </w:r>
          </w:p>
          <w:p w:rsidR="00536EFE" w:rsidRPr="00536EFE" w:rsidRDefault="00536EFE" w:rsidP="00536EFE">
            <w:pPr>
              <w:keepNext/>
            </w:pPr>
            <w:r w:rsidRPr="00536EFE">
              <w:t>125 in/mi (1.973 m/km)</w:t>
            </w:r>
          </w:p>
        </w:tc>
        <w:tc>
          <w:tcPr>
            <w:tcW w:w="1420" w:type="dxa"/>
            <w:vAlign w:val="center"/>
          </w:tcPr>
          <w:p w:rsidR="00536EFE" w:rsidRPr="00536EFE" w:rsidRDefault="00536EFE" w:rsidP="00536EFE">
            <w:pPr>
              <w:keepNext/>
            </w:pPr>
            <w:r w:rsidRPr="00536EFE">
              <w:t>REJECT</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Greater than 95.0 (1.50)</w:t>
            </w:r>
          </w:p>
        </w:tc>
        <w:tc>
          <w:tcPr>
            <w:tcW w:w="1420" w:type="dxa"/>
            <w:vAlign w:val="center"/>
          </w:tcPr>
          <w:p w:rsidR="00536EFE" w:rsidRPr="00536EFE" w:rsidRDefault="00536EFE" w:rsidP="00536EFE">
            <w:pPr>
              <w:keepNext/>
            </w:pPr>
            <w:r w:rsidRPr="00536EFE">
              <w:t>0.700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95.0 – 90.0 (1.50 – 1.42)</w:t>
            </w:r>
          </w:p>
        </w:tc>
        <w:tc>
          <w:tcPr>
            <w:tcW w:w="1420" w:type="dxa"/>
            <w:vAlign w:val="center"/>
          </w:tcPr>
          <w:p w:rsidR="00536EFE" w:rsidRPr="00536EFE" w:rsidRDefault="00536EFE" w:rsidP="00536EFE">
            <w:pPr>
              <w:keepNext/>
            </w:pPr>
            <w:r w:rsidRPr="00536EFE">
              <w:t>0.800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90.0 – 85.0 (1.42 – 1.34)</w:t>
            </w:r>
          </w:p>
        </w:tc>
        <w:tc>
          <w:tcPr>
            <w:tcW w:w="1420" w:type="dxa"/>
            <w:vAlign w:val="center"/>
          </w:tcPr>
          <w:p w:rsidR="00536EFE" w:rsidRPr="00536EFE" w:rsidRDefault="00536EFE" w:rsidP="00536EFE">
            <w:pPr>
              <w:keepNext/>
            </w:pPr>
            <w:r w:rsidRPr="00536EFE">
              <w:t>0.850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85.0 – 80.0 (1.34 – 1.26)</w:t>
            </w:r>
          </w:p>
        </w:tc>
        <w:tc>
          <w:tcPr>
            <w:tcW w:w="1420" w:type="dxa"/>
            <w:vAlign w:val="center"/>
          </w:tcPr>
          <w:p w:rsidR="00536EFE" w:rsidRPr="00536EFE" w:rsidRDefault="00536EFE" w:rsidP="00536EFE">
            <w:pPr>
              <w:keepNext/>
            </w:pPr>
            <w:r w:rsidRPr="00536EFE">
              <w:t>0.900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80.0 – 75.0 (1.26 – 1.18)</w:t>
            </w:r>
          </w:p>
        </w:tc>
        <w:tc>
          <w:tcPr>
            <w:tcW w:w="1420" w:type="dxa"/>
            <w:vAlign w:val="center"/>
          </w:tcPr>
          <w:p w:rsidR="00536EFE" w:rsidRPr="00536EFE" w:rsidRDefault="00536EFE" w:rsidP="00536EFE">
            <w:pPr>
              <w:keepNext/>
            </w:pPr>
            <w:r w:rsidRPr="00536EFE">
              <w:t>0.960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75.0 – 70.0 (1.18 – 1.10)</w:t>
            </w:r>
          </w:p>
        </w:tc>
        <w:tc>
          <w:tcPr>
            <w:tcW w:w="1420" w:type="dxa"/>
            <w:vAlign w:val="center"/>
          </w:tcPr>
          <w:p w:rsidR="00536EFE" w:rsidRPr="00536EFE" w:rsidRDefault="00536EFE" w:rsidP="00536EFE">
            <w:pPr>
              <w:keepNext/>
            </w:pPr>
            <w:r w:rsidRPr="00536EFE">
              <w:t>0.980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70.0 – 65.0 (1.10 – 1.02)</w:t>
            </w:r>
          </w:p>
        </w:tc>
        <w:tc>
          <w:tcPr>
            <w:tcW w:w="1420" w:type="dxa"/>
            <w:vAlign w:val="center"/>
          </w:tcPr>
          <w:p w:rsidR="00536EFE" w:rsidRPr="00536EFE" w:rsidRDefault="00536EFE" w:rsidP="00536EFE">
            <w:pPr>
              <w:keepNext/>
            </w:pPr>
            <w:r w:rsidRPr="00536EFE">
              <w:t>1.000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65.0 – 60.0 (1.02 – 0.94)</w:t>
            </w:r>
          </w:p>
        </w:tc>
        <w:tc>
          <w:tcPr>
            <w:tcW w:w="1420" w:type="dxa"/>
            <w:vAlign w:val="center"/>
          </w:tcPr>
          <w:p w:rsidR="00536EFE" w:rsidRPr="00536EFE" w:rsidRDefault="00536EFE" w:rsidP="00536EFE">
            <w:pPr>
              <w:keepNext/>
            </w:pPr>
            <w:r w:rsidRPr="00536EFE">
              <w:t>1.010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60.0 – 55.0 (0.94 – 0.86)</w:t>
            </w:r>
          </w:p>
        </w:tc>
        <w:tc>
          <w:tcPr>
            <w:tcW w:w="1420" w:type="dxa"/>
            <w:vAlign w:val="center"/>
          </w:tcPr>
          <w:p w:rsidR="00536EFE" w:rsidRPr="00536EFE" w:rsidRDefault="00536EFE" w:rsidP="00536EFE">
            <w:pPr>
              <w:keepNext/>
            </w:pPr>
            <w:r w:rsidRPr="00536EFE">
              <w:t>1.020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55.0 – 50.0 (0.86 – 0.78)</w:t>
            </w:r>
          </w:p>
        </w:tc>
        <w:tc>
          <w:tcPr>
            <w:tcW w:w="1420" w:type="dxa"/>
            <w:vAlign w:val="center"/>
          </w:tcPr>
          <w:p w:rsidR="00536EFE" w:rsidRPr="00536EFE" w:rsidRDefault="00536EFE" w:rsidP="00536EFE">
            <w:pPr>
              <w:keepNext/>
            </w:pPr>
            <w:r w:rsidRPr="00536EFE">
              <w:t>1.025</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50.0 – 45.0 (0.78 – 0.70)</w:t>
            </w:r>
          </w:p>
        </w:tc>
        <w:tc>
          <w:tcPr>
            <w:tcW w:w="1420" w:type="dxa"/>
            <w:vAlign w:val="center"/>
          </w:tcPr>
          <w:p w:rsidR="00536EFE" w:rsidRPr="00536EFE" w:rsidRDefault="00536EFE" w:rsidP="00536EFE">
            <w:pPr>
              <w:keepNext/>
            </w:pPr>
            <w:r w:rsidRPr="00536EFE">
              <w:t>1.030</w:t>
            </w:r>
          </w:p>
        </w:tc>
      </w:tr>
      <w:tr w:rsidR="00536EFE" w:rsidRPr="00536EFE" w:rsidTr="002A42F4">
        <w:tblPrEx>
          <w:jc w:val="left"/>
        </w:tblPrEx>
        <w:trPr>
          <w:trHeight w:val="288"/>
        </w:trPr>
        <w:tc>
          <w:tcPr>
            <w:tcW w:w="3600" w:type="dxa"/>
            <w:tcBorders>
              <w:bottom w:val="single" w:sz="6" w:space="0" w:color="000000"/>
            </w:tcBorders>
            <w:vAlign w:val="center"/>
          </w:tcPr>
          <w:p w:rsidR="00536EFE" w:rsidRPr="00536EFE" w:rsidRDefault="00536EFE" w:rsidP="00536EFE">
            <w:pPr>
              <w:keepNext/>
            </w:pPr>
            <w:r w:rsidRPr="00536EFE">
              <w:t>45.0 – 40.0 (0.70 – 0.62)</w:t>
            </w:r>
          </w:p>
        </w:tc>
        <w:tc>
          <w:tcPr>
            <w:tcW w:w="1420" w:type="dxa"/>
            <w:tcBorders>
              <w:bottom w:val="single" w:sz="6" w:space="0" w:color="000000"/>
            </w:tcBorders>
            <w:vAlign w:val="center"/>
          </w:tcPr>
          <w:p w:rsidR="00536EFE" w:rsidRPr="00536EFE" w:rsidRDefault="00536EFE" w:rsidP="00536EFE">
            <w:pPr>
              <w:keepNext/>
            </w:pPr>
            <w:r w:rsidRPr="00536EFE">
              <w:t>1.035</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40.0 – 35.0 (0.62 – 0.54)</w:t>
            </w:r>
          </w:p>
        </w:tc>
        <w:tc>
          <w:tcPr>
            <w:tcW w:w="1420" w:type="dxa"/>
            <w:vAlign w:val="center"/>
          </w:tcPr>
          <w:p w:rsidR="00536EFE" w:rsidRPr="00536EFE" w:rsidRDefault="00536EFE" w:rsidP="00536EFE">
            <w:pPr>
              <w:keepNext/>
            </w:pPr>
            <w:r w:rsidRPr="00536EFE">
              <w:t>1.040</w:t>
            </w:r>
          </w:p>
        </w:tc>
      </w:tr>
      <w:tr w:rsidR="00536EFE" w:rsidRPr="00536EFE" w:rsidTr="002A42F4">
        <w:tblPrEx>
          <w:jc w:val="left"/>
        </w:tblPrEx>
        <w:trPr>
          <w:trHeight w:val="288"/>
        </w:trPr>
        <w:tc>
          <w:tcPr>
            <w:tcW w:w="3600" w:type="dxa"/>
            <w:vAlign w:val="center"/>
          </w:tcPr>
          <w:p w:rsidR="00536EFE" w:rsidRPr="00536EFE" w:rsidRDefault="00536EFE" w:rsidP="00536EFE">
            <w:pPr>
              <w:keepNext/>
            </w:pPr>
            <w:r w:rsidRPr="00536EFE">
              <w:t>35.0 – 30.0 (0.54 – 0.46)</w:t>
            </w:r>
          </w:p>
        </w:tc>
        <w:tc>
          <w:tcPr>
            <w:tcW w:w="1420" w:type="dxa"/>
            <w:vAlign w:val="center"/>
          </w:tcPr>
          <w:p w:rsidR="00536EFE" w:rsidRPr="00536EFE" w:rsidRDefault="00536EFE" w:rsidP="00536EFE">
            <w:pPr>
              <w:keepNext/>
            </w:pPr>
            <w:r w:rsidRPr="00536EFE">
              <w:t>1.045</w:t>
            </w:r>
          </w:p>
        </w:tc>
      </w:tr>
      <w:tr w:rsidR="00536EFE" w:rsidRPr="00536EFE" w:rsidTr="002A42F4">
        <w:tblPrEx>
          <w:jc w:val="left"/>
        </w:tblPrEx>
        <w:trPr>
          <w:trHeight w:val="288"/>
        </w:trPr>
        <w:tc>
          <w:tcPr>
            <w:tcW w:w="3600" w:type="dxa"/>
            <w:tcBorders>
              <w:bottom w:val="single" w:sz="6" w:space="0" w:color="000000"/>
            </w:tcBorders>
            <w:vAlign w:val="center"/>
          </w:tcPr>
          <w:p w:rsidR="00536EFE" w:rsidRPr="00536EFE" w:rsidRDefault="00536EFE" w:rsidP="00536EFE">
            <w:r w:rsidRPr="00536EFE">
              <w:t>Less than 30.0 (0.46)</w:t>
            </w:r>
          </w:p>
        </w:tc>
        <w:tc>
          <w:tcPr>
            <w:tcW w:w="1420" w:type="dxa"/>
            <w:tcBorders>
              <w:bottom w:val="single" w:sz="6" w:space="0" w:color="000000"/>
            </w:tcBorders>
            <w:vAlign w:val="center"/>
          </w:tcPr>
          <w:p w:rsidR="00536EFE" w:rsidRPr="00536EFE" w:rsidRDefault="00536EFE" w:rsidP="00536EFE">
            <w:r w:rsidRPr="00536EFE">
              <w:t>1.050</w:t>
            </w:r>
          </w:p>
        </w:tc>
      </w:tr>
    </w:tbl>
    <w:p w:rsidR="00536EFE" w:rsidRPr="00536EFE" w:rsidRDefault="00536EFE" w:rsidP="00536EFE">
      <w:pPr>
        <w:pStyle w:val="Indent1"/>
      </w:pPr>
      <w:r w:rsidRPr="00536EFE">
        <w:rPr>
          <w:b/>
          <w:bCs/>
        </w:rPr>
        <w:t>(e)</w:t>
      </w:r>
      <w:r w:rsidRPr="00536EFE">
        <w:t xml:space="preserve"> </w:t>
      </w:r>
      <w:r w:rsidRPr="00536EFE">
        <w:rPr>
          <w:b/>
        </w:rPr>
        <w:t xml:space="preserve">Type IV </w:t>
      </w:r>
      <w:r w:rsidRPr="00536EFE">
        <w:rPr>
          <w:b/>
          <w:bCs/>
        </w:rPr>
        <w:t>straightedge measurement.</w:t>
      </w:r>
      <w:r w:rsidRPr="00536EFE">
        <w:t xml:space="preserve"> Use a 10-foot (3.0 meters) metal straightedge to measure at right angles and parallel to the centerline. Defective areas are deviations between the surface and the bottom of the straightedge exceeding ¼ inches (6 millimeters) measured between two contacts of the straightedge or deviations exceeding ¼ inches (6 millimeters) measured at the end of the straightedge. Correct defective areas according to Subsection 401.16(g).</w:t>
      </w:r>
      <w:r w:rsidRPr="00536EFE">
        <w:rPr>
          <w:sz w:val="16"/>
        </w:rPr>
        <w:t xml:space="preserve"> </w:t>
      </w:r>
    </w:p>
    <w:p w:rsidR="00536EFE" w:rsidRPr="00536EFE" w:rsidRDefault="00536EFE" w:rsidP="00536EFE">
      <w:pPr>
        <w:pStyle w:val="Indent1"/>
      </w:pPr>
      <w:r w:rsidRPr="00536EFE">
        <w:rPr>
          <w:b/>
        </w:rPr>
        <w:t>(f) Localized roughness and straightedge measurement pay reduction.</w:t>
      </w:r>
      <w:r w:rsidRPr="00536EFE">
        <w:t xml:space="preserve"> Each area of localized roughness exceeding the threshold MRI specified for the designated pavement roughness type will receive a reduction in payment according to Table 401-6.</w:t>
      </w:r>
    </w:p>
    <w:p w:rsidR="00536EFE" w:rsidRPr="00536EFE" w:rsidRDefault="00536EFE" w:rsidP="00536EFE">
      <w:pPr>
        <w:pStyle w:val="Indent1"/>
      </w:pPr>
      <w:r w:rsidRPr="00536EFE">
        <w:lastRenderedPageBreak/>
        <w:t>Each defective area as determined by a 10-foot (3.0-meter) metal straightedge will receive a reduction in payment according to Table 401-6.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0"/>
      </w:tblGrid>
      <w:tr w:rsidR="00032B29" w:rsidRPr="00032B29" w:rsidTr="002A42F4">
        <w:trPr>
          <w:trHeight w:val="354"/>
          <w:jc w:val="center"/>
        </w:trPr>
        <w:tc>
          <w:tcPr>
            <w:tcW w:w="8860" w:type="dxa"/>
            <w:tcBorders>
              <w:top w:val="nil"/>
              <w:left w:val="nil"/>
              <w:right w:val="nil"/>
            </w:tcBorders>
            <w:shd w:val="clear" w:color="auto" w:fill="auto"/>
            <w:vAlign w:val="center"/>
          </w:tcPr>
          <w:p w:rsidR="00032B29" w:rsidRPr="00032B29" w:rsidRDefault="00032B29" w:rsidP="00032B29">
            <w:pPr>
              <w:pStyle w:val="Caption"/>
            </w:pPr>
            <w:r w:rsidRPr="00032B29">
              <w:rPr>
                <w:color w:val="000000"/>
              </w:rPr>
              <w:br w:type="page"/>
            </w:r>
            <w:r w:rsidRPr="00032B29">
              <w:t>Table 401-6</w:t>
            </w:r>
          </w:p>
          <w:p w:rsidR="00032B29" w:rsidRPr="00032B29" w:rsidRDefault="00032B29" w:rsidP="00032B29">
            <w:pPr>
              <w:pStyle w:val="Caption"/>
              <w:rPr>
                <w:sz w:val="20"/>
                <w:szCs w:val="20"/>
              </w:rPr>
            </w:pPr>
            <w:r w:rsidRPr="00032B29">
              <w:t>Localized Roughness and Straightedge Measurement Pay Reductions</w:t>
            </w:r>
          </w:p>
        </w:tc>
      </w:tr>
    </w:tbl>
    <w:tbl>
      <w:tblPr>
        <w:tblStyle w:val="TableSCR4"/>
        <w:tblW w:w="0" w:type="auto"/>
        <w:tblLayout w:type="fixed"/>
        <w:tblLook w:val="01E0" w:firstRow="1" w:lastRow="1" w:firstColumn="1" w:lastColumn="1" w:noHBand="0" w:noVBand="0"/>
      </w:tblPr>
      <w:tblGrid>
        <w:gridCol w:w="1480"/>
        <w:gridCol w:w="1600"/>
        <w:gridCol w:w="2450"/>
        <w:gridCol w:w="1800"/>
        <w:gridCol w:w="1530"/>
      </w:tblGrid>
      <w:tr w:rsidR="00032B29" w:rsidRPr="00032B29" w:rsidTr="002A42F4">
        <w:trPr>
          <w:cnfStyle w:val="100000000000" w:firstRow="1" w:lastRow="0" w:firstColumn="0" w:lastColumn="0" w:oddVBand="0" w:evenVBand="0" w:oddHBand="0" w:evenHBand="0" w:firstRowFirstColumn="0" w:firstRowLastColumn="0" w:lastRowFirstColumn="0" w:lastRowLastColumn="0"/>
          <w:trHeight w:val="354"/>
          <w:tblHeader/>
        </w:trPr>
        <w:tc>
          <w:tcPr>
            <w:tcW w:w="1480" w:type="dxa"/>
            <w:tcBorders>
              <w:bottom w:val="single" w:sz="6" w:space="0" w:color="auto"/>
            </w:tcBorders>
            <w:vAlign w:val="center"/>
          </w:tcPr>
          <w:p w:rsidR="00032B29" w:rsidRPr="00032B29" w:rsidRDefault="00032B29" w:rsidP="00032B29">
            <w:r w:rsidRPr="00032B29">
              <w:t>Type I</w:t>
            </w:r>
          </w:p>
        </w:tc>
        <w:tc>
          <w:tcPr>
            <w:tcW w:w="1600" w:type="dxa"/>
            <w:tcBorders>
              <w:bottom w:val="single" w:sz="6" w:space="0" w:color="auto"/>
            </w:tcBorders>
            <w:vAlign w:val="center"/>
          </w:tcPr>
          <w:p w:rsidR="00032B29" w:rsidRPr="00032B29" w:rsidRDefault="00032B29" w:rsidP="00032B29">
            <w:r w:rsidRPr="00032B29">
              <w:t>Type II &amp; IV</w:t>
            </w:r>
          </w:p>
        </w:tc>
        <w:tc>
          <w:tcPr>
            <w:tcW w:w="2450" w:type="dxa"/>
            <w:vMerge w:val="restart"/>
            <w:vAlign w:val="center"/>
          </w:tcPr>
          <w:p w:rsidR="00032B29" w:rsidRPr="00032B29" w:rsidRDefault="00032B29" w:rsidP="00032B29">
            <w:r w:rsidRPr="00032B29">
              <w:t>Localized</w:t>
            </w:r>
          </w:p>
          <w:p w:rsidR="00032B29" w:rsidRPr="00032B29" w:rsidRDefault="00032B29" w:rsidP="00032B29">
            <w:r w:rsidRPr="00032B29">
              <w:t>Roughness Limit</w:t>
            </w:r>
          </w:p>
          <w:p w:rsidR="00032B29" w:rsidRPr="00032B29" w:rsidRDefault="00032B29" w:rsidP="00032B29">
            <w:r w:rsidRPr="00032B29">
              <w:t>MRI</w:t>
            </w:r>
          </w:p>
        </w:tc>
        <w:tc>
          <w:tcPr>
            <w:tcW w:w="3330" w:type="dxa"/>
            <w:gridSpan w:val="2"/>
            <w:tcBorders>
              <w:bottom w:val="single" w:sz="6" w:space="0" w:color="auto"/>
            </w:tcBorders>
            <w:vAlign w:val="center"/>
          </w:tcPr>
          <w:p w:rsidR="00032B29" w:rsidRPr="00032B29" w:rsidRDefault="00032B29" w:rsidP="00032B29">
            <w:r w:rsidRPr="00032B29">
              <w:t>Type III</w:t>
            </w:r>
          </w:p>
        </w:tc>
      </w:tr>
      <w:tr w:rsidR="00032B29" w:rsidRPr="00032B29" w:rsidTr="002A42F4">
        <w:trPr>
          <w:cnfStyle w:val="100000000000" w:firstRow="1" w:lastRow="0" w:firstColumn="0" w:lastColumn="0" w:oddVBand="0" w:evenVBand="0" w:oddHBand="0" w:evenHBand="0" w:firstRowFirstColumn="0" w:firstRowLastColumn="0" w:lastRowFirstColumn="0" w:lastRowLastColumn="0"/>
          <w:trHeight w:val="353"/>
          <w:tblHeader/>
        </w:trPr>
        <w:tc>
          <w:tcPr>
            <w:tcW w:w="1480" w:type="dxa"/>
            <w:tcBorders>
              <w:top w:val="single" w:sz="6" w:space="0" w:color="auto"/>
            </w:tcBorders>
            <w:vAlign w:val="center"/>
          </w:tcPr>
          <w:p w:rsidR="00032B29" w:rsidRPr="00032B29" w:rsidRDefault="00032B29" w:rsidP="00032B29">
            <w:r w:rsidRPr="00032B29">
              <w:t>Deduction</w:t>
            </w:r>
          </w:p>
          <w:p w:rsidR="00032B29" w:rsidRPr="00032B29" w:rsidRDefault="00032B29" w:rsidP="00032B29">
            <w:r w:rsidRPr="00032B29">
              <w:t>per</w:t>
            </w:r>
          </w:p>
          <w:p w:rsidR="00032B29" w:rsidRPr="00032B29" w:rsidRDefault="00032B29" w:rsidP="00032B29">
            <w:r w:rsidRPr="00032B29">
              <w:t>Occurrence</w:t>
            </w:r>
          </w:p>
        </w:tc>
        <w:tc>
          <w:tcPr>
            <w:tcW w:w="1600" w:type="dxa"/>
            <w:tcBorders>
              <w:top w:val="single" w:sz="6" w:space="0" w:color="auto"/>
            </w:tcBorders>
            <w:vAlign w:val="center"/>
          </w:tcPr>
          <w:p w:rsidR="00032B29" w:rsidRPr="00032B29" w:rsidRDefault="00032B29" w:rsidP="00032B29">
            <w:r w:rsidRPr="00032B29">
              <w:t>Deduction</w:t>
            </w:r>
          </w:p>
          <w:p w:rsidR="00032B29" w:rsidRPr="00032B29" w:rsidRDefault="00032B29" w:rsidP="00032B29">
            <w:r w:rsidRPr="00032B29">
              <w:t>per</w:t>
            </w:r>
          </w:p>
          <w:p w:rsidR="00032B29" w:rsidRPr="00032B29" w:rsidRDefault="00032B29" w:rsidP="00032B29">
            <w:r w:rsidRPr="00032B29">
              <w:t>Occurrence</w:t>
            </w:r>
          </w:p>
        </w:tc>
        <w:tc>
          <w:tcPr>
            <w:tcW w:w="2450" w:type="dxa"/>
            <w:vMerge/>
            <w:vAlign w:val="center"/>
          </w:tcPr>
          <w:p w:rsidR="00032B29" w:rsidRPr="00032B29" w:rsidRDefault="00032B29" w:rsidP="00032B29"/>
        </w:tc>
        <w:tc>
          <w:tcPr>
            <w:tcW w:w="1800" w:type="dxa"/>
            <w:tcBorders>
              <w:top w:val="single" w:sz="6" w:space="0" w:color="auto"/>
            </w:tcBorders>
            <w:vAlign w:val="center"/>
          </w:tcPr>
          <w:p w:rsidR="00032B29" w:rsidRPr="00032B29" w:rsidRDefault="00032B29" w:rsidP="00032B29">
            <w:r w:rsidRPr="00032B29">
              <w:t>Localized</w:t>
            </w:r>
          </w:p>
          <w:p w:rsidR="00032B29" w:rsidRPr="00032B29" w:rsidRDefault="00032B29" w:rsidP="00032B29">
            <w:r w:rsidRPr="00032B29">
              <w:t>Roughness</w:t>
            </w:r>
          </w:p>
          <w:p w:rsidR="00032B29" w:rsidRPr="00032B29" w:rsidRDefault="00032B29" w:rsidP="00032B29">
            <w:r w:rsidRPr="00032B29">
              <w:t>Limit</w:t>
            </w:r>
          </w:p>
          <w:p w:rsidR="00032B29" w:rsidRPr="00032B29" w:rsidRDefault="00032B29" w:rsidP="00032B29">
            <w:r w:rsidRPr="00032B29">
              <w:t>MRI, in/mi</w:t>
            </w:r>
          </w:p>
          <w:p w:rsidR="00032B29" w:rsidRPr="00032B29" w:rsidRDefault="00032B29" w:rsidP="00032B29">
            <w:r w:rsidRPr="00032B29">
              <w:t>(m/km)</w:t>
            </w:r>
          </w:p>
        </w:tc>
        <w:tc>
          <w:tcPr>
            <w:tcW w:w="1530" w:type="dxa"/>
            <w:tcBorders>
              <w:top w:val="single" w:sz="6" w:space="0" w:color="auto"/>
            </w:tcBorders>
            <w:vAlign w:val="center"/>
          </w:tcPr>
          <w:p w:rsidR="00032B29" w:rsidRPr="00032B29" w:rsidRDefault="00032B29" w:rsidP="00032B29">
            <w:r w:rsidRPr="00032B29">
              <w:t>Deduction</w:t>
            </w:r>
          </w:p>
          <w:p w:rsidR="00032B29" w:rsidRPr="00032B29" w:rsidRDefault="00032B29" w:rsidP="00032B29">
            <w:r w:rsidRPr="00032B29">
              <w:t>per</w:t>
            </w:r>
          </w:p>
          <w:p w:rsidR="00032B29" w:rsidRPr="00032B29" w:rsidRDefault="00032B29" w:rsidP="00032B29">
            <w:r w:rsidRPr="00032B29">
              <w:t>Occurrence</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val="restart"/>
            <w:shd w:val="clear" w:color="auto" w:fill="auto"/>
          </w:tcPr>
          <w:p w:rsidR="00032B29" w:rsidRPr="00032B29" w:rsidRDefault="00032B29" w:rsidP="00032B29">
            <w:pPr>
              <w:keepNext/>
            </w:pPr>
            <w:r w:rsidRPr="00032B29">
              <w:t>$200</w:t>
            </w:r>
          </w:p>
        </w:tc>
        <w:tc>
          <w:tcPr>
            <w:tcW w:w="1600" w:type="dxa"/>
            <w:vMerge w:val="restart"/>
            <w:shd w:val="clear" w:color="auto" w:fill="auto"/>
          </w:tcPr>
          <w:p w:rsidR="00032B29" w:rsidRPr="00032B29" w:rsidRDefault="00032B29" w:rsidP="00032B29">
            <w:pPr>
              <w:keepNext/>
            </w:pPr>
            <w:r w:rsidRPr="00032B29">
              <w:t>$300</w:t>
            </w:r>
          </w:p>
        </w:tc>
        <w:tc>
          <w:tcPr>
            <w:tcW w:w="2450" w:type="dxa"/>
            <w:vMerge w:val="restart"/>
            <w:shd w:val="clear" w:color="auto" w:fill="auto"/>
          </w:tcPr>
          <w:p w:rsidR="00032B29" w:rsidRPr="00032B29" w:rsidRDefault="00032B29" w:rsidP="00032B29">
            <w:pPr>
              <w:keepNext/>
            </w:pPr>
            <w:r w:rsidRPr="00032B29">
              <w:t>Computed MRI value</w:t>
            </w:r>
          </w:p>
          <w:p w:rsidR="00032B29" w:rsidRPr="00032B29" w:rsidRDefault="00032B29" w:rsidP="00032B29">
            <w:pPr>
              <w:keepNext/>
            </w:pPr>
            <w:r w:rsidRPr="00032B29">
              <w:t>per Subsection</w:t>
            </w:r>
          </w:p>
          <w:p w:rsidR="00032B29" w:rsidRPr="00032B29" w:rsidRDefault="00032B29" w:rsidP="00032B29">
            <w:pPr>
              <w:keepNext/>
            </w:pPr>
          </w:p>
          <w:p w:rsidR="00032B29" w:rsidRPr="00032B29" w:rsidRDefault="00032B29" w:rsidP="00032B29">
            <w:pPr>
              <w:keepNext/>
            </w:pPr>
            <w:r w:rsidRPr="00032B29">
              <w:t>401.16(b) for Type I</w:t>
            </w:r>
          </w:p>
          <w:p w:rsidR="00032B29" w:rsidRPr="00032B29" w:rsidRDefault="00032B29" w:rsidP="00032B29">
            <w:pPr>
              <w:keepNext/>
            </w:pPr>
          </w:p>
          <w:p w:rsidR="00032B29" w:rsidRPr="00032B29" w:rsidRDefault="00032B29" w:rsidP="00032B29">
            <w:pPr>
              <w:keepNext/>
            </w:pPr>
            <w:r w:rsidRPr="00032B29">
              <w:t>401.16(c) for Type II</w:t>
            </w:r>
          </w:p>
          <w:p w:rsidR="00032B29" w:rsidRPr="00032B29" w:rsidRDefault="00032B29" w:rsidP="00032B29">
            <w:pPr>
              <w:keepNext/>
            </w:pPr>
          </w:p>
          <w:p w:rsidR="00032B29" w:rsidRPr="00032B29" w:rsidRDefault="00032B29" w:rsidP="00032B29">
            <w:pPr>
              <w:keepNext/>
            </w:pPr>
            <w:r w:rsidRPr="00032B29">
              <w:t>401.16(d) for Type III</w:t>
            </w:r>
          </w:p>
        </w:tc>
        <w:tc>
          <w:tcPr>
            <w:tcW w:w="1800" w:type="dxa"/>
            <w:shd w:val="clear" w:color="auto" w:fill="auto"/>
            <w:vAlign w:val="center"/>
          </w:tcPr>
          <w:p w:rsidR="00032B29" w:rsidRPr="00032B29" w:rsidRDefault="00032B29" w:rsidP="00032B29">
            <w:pPr>
              <w:keepNext/>
            </w:pPr>
            <w:r w:rsidRPr="00032B29">
              <w:t>140.0 – 169.9</w:t>
            </w:r>
          </w:p>
          <w:p w:rsidR="00032B29" w:rsidRPr="00032B29" w:rsidRDefault="00032B29" w:rsidP="00032B29">
            <w:pPr>
              <w:keepNext/>
            </w:pPr>
            <w:r w:rsidRPr="00032B29">
              <w:t>(2.208 – 2.680)</w:t>
            </w:r>
          </w:p>
        </w:tc>
        <w:tc>
          <w:tcPr>
            <w:tcW w:w="1530" w:type="dxa"/>
            <w:shd w:val="clear" w:color="auto" w:fill="auto"/>
            <w:vAlign w:val="center"/>
          </w:tcPr>
          <w:p w:rsidR="00032B29" w:rsidRPr="00032B29" w:rsidRDefault="00032B29" w:rsidP="00032B29">
            <w:pPr>
              <w:keepNext/>
            </w:pPr>
            <w:r w:rsidRPr="00032B29">
              <w:t>$300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170.0 – 179.9</w:t>
            </w:r>
          </w:p>
          <w:p w:rsidR="00032B29" w:rsidRPr="00032B29" w:rsidRDefault="00032B29" w:rsidP="00032B29">
            <w:pPr>
              <w:keepNext/>
            </w:pPr>
            <w:r w:rsidRPr="00032B29">
              <w:t>(2.681 – 2.838)</w:t>
            </w:r>
          </w:p>
        </w:tc>
        <w:tc>
          <w:tcPr>
            <w:tcW w:w="1530" w:type="dxa"/>
            <w:shd w:val="clear" w:color="auto" w:fill="auto"/>
            <w:vAlign w:val="center"/>
          </w:tcPr>
          <w:p w:rsidR="00032B29" w:rsidRPr="00032B29" w:rsidRDefault="00032B29" w:rsidP="00032B29">
            <w:pPr>
              <w:keepNext/>
            </w:pPr>
            <w:r w:rsidRPr="00032B29">
              <w:t>$450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180.0 – 189.9</w:t>
            </w:r>
          </w:p>
          <w:p w:rsidR="00032B29" w:rsidRPr="00032B29" w:rsidRDefault="00032B29" w:rsidP="00032B29">
            <w:pPr>
              <w:keepNext/>
            </w:pPr>
            <w:r w:rsidRPr="00032B29">
              <w:t>(2.839 – 2.995)</w:t>
            </w:r>
          </w:p>
        </w:tc>
        <w:tc>
          <w:tcPr>
            <w:tcW w:w="1530" w:type="dxa"/>
            <w:shd w:val="clear" w:color="auto" w:fill="auto"/>
            <w:vAlign w:val="center"/>
          </w:tcPr>
          <w:p w:rsidR="00032B29" w:rsidRPr="00032B29" w:rsidRDefault="00032B29" w:rsidP="00032B29">
            <w:pPr>
              <w:keepNext/>
            </w:pPr>
            <w:r w:rsidRPr="00032B29">
              <w:t>$600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190.0 – 199.9</w:t>
            </w:r>
          </w:p>
          <w:p w:rsidR="00032B29" w:rsidRPr="00032B29" w:rsidRDefault="00032B29" w:rsidP="00032B29">
            <w:pPr>
              <w:keepNext/>
            </w:pPr>
            <w:r w:rsidRPr="00032B29">
              <w:t>(2.996 – 3.154)</w:t>
            </w:r>
          </w:p>
        </w:tc>
        <w:tc>
          <w:tcPr>
            <w:tcW w:w="1530" w:type="dxa"/>
            <w:shd w:val="clear" w:color="auto" w:fill="auto"/>
            <w:vAlign w:val="center"/>
          </w:tcPr>
          <w:p w:rsidR="00032B29" w:rsidRPr="00032B29" w:rsidRDefault="00032B29" w:rsidP="00032B29">
            <w:pPr>
              <w:keepNext/>
            </w:pPr>
            <w:r w:rsidRPr="00032B29">
              <w:t>$750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200.0 – 209.9</w:t>
            </w:r>
          </w:p>
          <w:p w:rsidR="00032B29" w:rsidRPr="00032B29" w:rsidRDefault="00032B29" w:rsidP="00032B29">
            <w:pPr>
              <w:keepNext/>
            </w:pPr>
            <w:r w:rsidRPr="00032B29">
              <w:t>(3.155 – 3.311)</w:t>
            </w:r>
          </w:p>
        </w:tc>
        <w:tc>
          <w:tcPr>
            <w:tcW w:w="1530" w:type="dxa"/>
            <w:shd w:val="clear" w:color="auto" w:fill="auto"/>
            <w:vAlign w:val="center"/>
          </w:tcPr>
          <w:p w:rsidR="00032B29" w:rsidRPr="00032B29" w:rsidRDefault="00032B29" w:rsidP="00032B29">
            <w:pPr>
              <w:keepNext/>
            </w:pPr>
            <w:r w:rsidRPr="00032B29">
              <w:t>$900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210.0 – 219.9</w:t>
            </w:r>
          </w:p>
          <w:p w:rsidR="00032B29" w:rsidRPr="00032B29" w:rsidRDefault="00032B29" w:rsidP="00032B29">
            <w:pPr>
              <w:keepNext/>
            </w:pPr>
            <w:r w:rsidRPr="00032B29">
              <w:t>(3.312 – 3.469)</w:t>
            </w:r>
          </w:p>
        </w:tc>
        <w:tc>
          <w:tcPr>
            <w:tcW w:w="1530" w:type="dxa"/>
            <w:shd w:val="clear" w:color="auto" w:fill="auto"/>
            <w:vAlign w:val="center"/>
          </w:tcPr>
          <w:p w:rsidR="00032B29" w:rsidRPr="00032B29" w:rsidRDefault="00032B29" w:rsidP="00032B29">
            <w:pPr>
              <w:keepNext/>
            </w:pPr>
            <w:r w:rsidRPr="00032B29">
              <w:t>$1,200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220.0 – 229.9</w:t>
            </w:r>
          </w:p>
          <w:p w:rsidR="00032B29" w:rsidRPr="00032B29" w:rsidRDefault="00032B29" w:rsidP="00032B29">
            <w:pPr>
              <w:keepNext/>
            </w:pPr>
            <w:r w:rsidRPr="00032B29">
              <w:t>(3.470 – 3.626)</w:t>
            </w:r>
          </w:p>
        </w:tc>
        <w:tc>
          <w:tcPr>
            <w:tcW w:w="1530" w:type="dxa"/>
            <w:shd w:val="clear" w:color="auto" w:fill="auto"/>
            <w:vAlign w:val="center"/>
          </w:tcPr>
          <w:p w:rsidR="00032B29" w:rsidRPr="00032B29" w:rsidRDefault="00032B29" w:rsidP="00032B29">
            <w:pPr>
              <w:keepNext/>
            </w:pPr>
            <w:r w:rsidRPr="00032B29">
              <w:t>$1,500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pPr>
              <w:keepNext/>
            </w:pPr>
          </w:p>
        </w:tc>
        <w:tc>
          <w:tcPr>
            <w:tcW w:w="1600" w:type="dxa"/>
            <w:vMerge/>
            <w:shd w:val="clear" w:color="auto" w:fill="auto"/>
            <w:vAlign w:val="center"/>
          </w:tcPr>
          <w:p w:rsidR="00032B29" w:rsidRPr="00032B29" w:rsidRDefault="00032B29" w:rsidP="00032B29">
            <w:pPr>
              <w:keepNext/>
            </w:pPr>
          </w:p>
        </w:tc>
        <w:tc>
          <w:tcPr>
            <w:tcW w:w="2450" w:type="dxa"/>
            <w:vMerge/>
            <w:shd w:val="clear" w:color="auto" w:fill="auto"/>
            <w:vAlign w:val="center"/>
          </w:tcPr>
          <w:p w:rsidR="00032B29" w:rsidRPr="00032B29" w:rsidRDefault="00032B29" w:rsidP="00032B29">
            <w:pPr>
              <w:keepNext/>
            </w:pPr>
          </w:p>
        </w:tc>
        <w:tc>
          <w:tcPr>
            <w:tcW w:w="1800" w:type="dxa"/>
            <w:shd w:val="clear" w:color="auto" w:fill="auto"/>
            <w:vAlign w:val="center"/>
          </w:tcPr>
          <w:p w:rsidR="00032B29" w:rsidRPr="00032B29" w:rsidRDefault="00032B29" w:rsidP="00032B29">
            <w:pPr>
              <w:keepNext/>
            </w:pPr>
            <w:r w:rsidRPr="00032B29">
              <w:t>230.0 – 239.9</w:t>
            </w:r>
          </w:p>
          <w:p w:rsidR="00032B29" w:rsidRPr="00032B29" w:rsidRDefault="00032B29" w:rsidP="00032B29">
            <w:pPr>
              <w:keepNext/>
            </w:pPr>
            <w:r w:rsidRPr="00032B29">
              <w:t>(3.627 – 3.784)</w:t>
            </w:r>
          </w:p>
        </w:tc>
        <w:tc>
          <w:tcPr>
            <w:tcW w:w="1530" w:type="dxa"/>
            <w:shd w:val="clear" w:color="auto" w:fill="auto"/>
            <w:vAlign w:val="center"/>
          </w:tcPr>
          <w:p w:rsidR="00032B29" w:rsidRPr="00032B29" w:rsidRDefault="00032B29" w:rsidP="00032B29">
            <w:pPr>
              <w:keepNext/>
            </w:pPr>
            <w:r w:rsidRPr="00032B29">
              <w:t>$2,000</w:t>
            </w:r>
          </w:p>
        </w:tc>
      </w:tr>
      <w:tr w:rsidR="00032B29" w:rsidRPr="00032B29" w:rsidTr="002A42F4">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1480" w:type="dxa"/>
            <w:vMerge/>
            <w:shd w:val="clear" w:color="auto" w:fill="auto"/>
            <w:vAlign w:val="center"/>
          </w:tcPr>
          <w:p w:rsidR="00032B29" w:rsidRPr="00032B29" w:rsidRDefault="00032B29" w:rsidP="00032B29"/>
        </w:tc>
        <w:tc>
          <w:tcPr>
            <w:tcW w:w="1600" w:type="dxa"/>
            <w:vMerge/>
            <w:shd w:val="clear" w:color="auto" w:fill="auto"/>
            <w:vAlign w:val="center"/>
          </w:tcPr>
          <w:p w:rsidR="00032B29" w:rsidRPr="00032B29" w:rsidRDefault="00032B29" w:rsidP="00032B29"/>
        </w:tc>
        <w:tc>
          <w:tcPr>
            <w:tcW w:w="2450" w:type="dxa"/>
            <w:vMerge/>
            <w:shd w:val="clear" w:color="auto" w:fill="auto"/>
            <w:vAlign w:val="center"/>
          </w:tcPr>
          <w:p w:rsidR="00032B29" w:rsidRPr="00032B29" w:rsidRDefault="00032B29" w:rsidP="00032B29"/>
        </w:tc>
        <w:tc>
          <w:tcPr>
            <w:tcW w:w="1800" w:type="dxa"/>
            <w:shd w:val="clear" w:color="auto" w:fill="auto"/>
            <w:vAlign w:val="center"/>
          </w:tcPr>
          <w:p w:rsidR="00032B29" w:rsidRPr="00032B29" w:rsidRDefault="00032B29" w:rsidP="00032B29">
            <w:r w:rsidRPr="00032B29">
              <w:rPr>
                <w:u w:val="single"/>
              </w:rPr>
              <w:t>&gt;</w:t>
            </w:r>
            <w:r w:rsidRPr="00032B29">
              <w:t xml:space="preserve"> 240.0 (3.785)</w:t>
            </w:r>
          </w:p>
        </w:tc>
        <w:tc>
          <w:tcPr>
            <w:tcW w:w="1530" w:type="dxa"/>
            <w:shd w:val="clear" w:color="auto" w:fill="auto"/>
            <w:vAlign w:val="center"/>
          </w:tcPr>
          <w:p w:rsidR="00032B29" w:rsidRPr="00032B29" w:rsidRDefault="00032B29" w:rsidP="00032B29">
            <w:r w:rsidRPr="00032B29">
              <w:t>$4,000</w:t>
            </w:r>
          </w:p>
        </w:tc>
      </w:tr>
    </w:tbl>
    <w:p w:rsidR="002A42F4" w:rsidRPr="002A42F4" w:rsidRDefault="002A42F4" w:rsidP="002A42F4">
      <w:pPr>
        <w:pStyle w:val="Indent1"/>
      </w:pPr>
      <w:r w:rsidRPr="002A42F4">
        <w:rPr>
          <w:b/>
          <w:bCs/>
        </w:rPr>
        <w:t>(g) Defective area correction.</w:t>
      </w:r>
      <w:r w:rsidRPr="002A42F4">
        <w:t xml:space="preserve"> Obtain approval before starting corrective work. Allow 7 days for review and approval of correction method proposal.</w:t>
      </w:r>
    </w:p>
    <w:p w:rsidR="002A42F4" w:rsidRPr="002A42F4" w:rsidRDefault="002A42F4" w:rsidP="002A42F4">
      <w:pPr>
        <w:pStyle w:val="Indent1"/>
      </w:pPr>
      <w:r w:rsidRPr="002A42F4">
        <w:t>Correct defective areas by one of the following methods:</w:t>
      </w:r>
    </w:p>
    <w:p w:rsidR="002A42F4" w:rsidRPr="002A42F4" w:rsidRDefault="002A42F4" w:rsidP="002A42F4">
      <w:pPr>
        <w:pStyle w:val="Indent2"/>
      </w:pPr>
      <w:r w:rsidRPr="002A42F4">
        <w:rPr>
          <w:b/>
          <w:bCs/>
        </w:rPr>
        <w:t>(1)</w:t>
      </w:r>
      <w:r w:rsidRPr="002A42F4">
        <w:rPr>
          <w:b/>
        </w:rPr>
        <w:t xml:space="preserve"> Milling.</w:t>
      </w:r>
      <w:r w:rsidRPr="002A42F4">
        <w:t xml:space="preserve"> Replace the defective area by milling at least one-half the pavement depth and repaving with the approved asphalt concrete mix. Mill the defective area according to Section 413.</w:t>
      </w:r>
    </w:p>
    <w:p w:rsidR="002A42F4" w:rsidRPr="002A42F4" w:rsidRDefault="002A42F4" w:rsidP="002A42F4">
      <w:pPr>
        <w:pStyle w:val="Indent2"/>
      </w:pPr>
      <w:r w:rsidRPr="002A42F4">
        <w:rPr>
          <w:b/>
          <w:bCs/>
        </w:rPr>
        <w:t xml:space="preserve">(2) Saw </w:t>
      </w:r>
      <w:r w:rsidRPr="002A42F4">
        <w:rPr>
          <w:b/>
        </w:rPr>
        <w:t>cutting.</w:t>
      </w:r>
      <w:r w:rsidRPr="002A42F4">
        <w:t xml:space="preserve"> Replace the defective area by saw cutting and removing the defective area and repaving with the approved asphalt concrete mix. Saw cut and remove the defective area according to Section 203.</w:t>
      </w:r>
    </w:p>
    <w:p w:rsidR="002A42F4" w:rsidRPr="002A42F4" w:rsidRDefault="002A42F4" w:rsidP="002A42F4">
      <w:pPr>
        <w:pStyle w:val="Indent2"/>
      </w:pPr>
      <w:r w:rsidRPr="002A42F4">
        <w:rPr>
          <w:b/>
        </w:rPr>
        <w:t>(3) Grinding.</w:t>
      </w:r>
      <w:r w:rsidRPr="002A42F4">
        <w:t xml:space="preserve"> Use a diamond blade machine to grind off the defective surface area. Provide the manufacturer and model of the equipment to be used. Identify the beginning and ending station of each grind location, the grinding depth, and lateral extent of grinding. Optimize </w:t>
      </w:r>
      <w:r w:rsidRPr="002A42F4">
        <w:lastRenderedPageBreak/>
        <w:t>the endpoints of the areas where a grinder is to be applied using ProVAL’s Smoothness Assurance function in conjunction with the grinding simulation function. Submit the type of seal to be placed after grinding is completed for approval. Place seals according to Section 409 or 410. Limit the grinding depth to 12.5 percent of the design pavement thickness. If grinding exceeds this depth, provide a minimum 1-inch (25</w:t>
      </w:r>
      <w:r w:rsidRPr="002A42F4">
        <w:noBreakHyphen/>
        <w:t>millimeter) overlay.</w:t>
      </w:r>
    </w:p>
    <w:p w:rsidR="002A42F4" w:rsidRPr="002A42F4" w:rsidRDefault="002A42F4" w:rsidP="002A42F4">
      <w:pPr>
        <w:pStyle w:val="Indent2"/>
      </w:pPr>
      <w:r w:rsidRPr="002A42F4">
        <w:rPr>
          <w:b/>
        </w:rPr>
        <w:t>(4) Other.</w:t>
      </w:r>
      <w:r w:rsidRPr="002A42F4">
        <w:t xml:space="preserve"> Submit a proposal for approval for other correction methods not listed above.</w:t>
      </w:r>
    </w:p>
    <w:p w:rsidR="002A42F4" w:rsidRPr="002A42F4" w:rsidRDefault="002A42F4" w:rsidP="002A42F4">
      <w:pPr>
        <w:pStyle w:val="Indent1"/>
      </w:pPr>
      <w:r w:rsidRPr="002A42F4">
        <w:t>After corrections are made, the CO will re-measure the pavement profile according to Subsection 401.16(a). Data from the re-measurement will be analyzed to determine the MRI or percent improvement, areas of localized roughness, and the final PF</w:t>
      </w:r>
      <w:r w:rsidRPr="002A42F4">
        <w:rPr>
          <w:vertAlign w:val="subscript"/>
        </w:rPr>
        <w:t>rough</w:t>
      </w:r>
      <w:r w:rsidRPr="002A42F4">
        <w:t>. If correction and re-measurement of the surface is required, the maximum allowable pay factor under Subsection 401.19 is 1.00.</w:t>
      </w:r>
    </w:p>
    <w:p w:rsidR="002A42F4" w:rsidRPr="002A42F4" w:rsidRDefault="002A42F4" w:rsidP="002A42F4">
      <w:pPr>
        <w:pStyle w:val="Indent1"/>
      </w:pPr>
      <w:r w:rsidRPr="002A42F4">
        <w:t>If corrections are not allowed, no adjustment will be made to the final PF</w:t>
      </w:r>
      <w:r w:rsidRPr="002A42F4">
        <w:rPr>
          <w:vertAlign w:val="subscript"/>
        </w:rPr>
        <w:t>rough</w:t>
      </w:r>
      <w:r w:rsidRPr="002A42F4">
        <w:t xml:space="preserve"> or localized roughness pay deductions.</w:t>
      </w:r>
    </w:p>
    <w:p w:rsidR="002A42F4" w:rsidRPr="002A42F4" w:rsidRDefault="002A42F4" w:rsidP="002A42F4">
      <w:pPr>
        <w:pStyle w:val="Directions"/>
        <w:rPr>
          <w:rStyle w:val="DirectionsInfo"/>
        </w:rPr>
      </w:pPr>
      <w:r w:rsidRPr="002A42F4">
        <w:rPr>
          <w:rStyle w:val="DirectionsInfo"/>
        </w:rPr>
        <w:t>FLH Transmittal No. 1  07/20/15</w:t>
      </w:r>
      <w:r w:rsidR="00A54203">
        <w:rPr>
          <w:rStyle w:val="DirectionsInfo"/>
        </w:rPr>
        <w:tab/>
        <w:t>4010050</w:t>
      </w:r>
    </w:p>
    <w:p w:rsidR="002A42F4" w:rsidRPr="002A42F4" w:rsidRDefault="002A42F4" w:rsidP="002A42F4">
      <w:pPr>
        <w:pStyle w:val="Directions"/>
        <w:rPr>
          <w:rStyle w:val="DirectionsInfo"/>
        </w:rPr>
      </w:pPr>
      <w:r w:rsidRPr="002A42F4">
        <w:rPr>
          <w:rStyle w:val="DirectionsInfo"/>
        </w:rPr>
        <w:t>WFL Specification 03/01/19</w:t>
      </w:r>
    </w:p>
    <w:p w:rsidR="002A42F4" w:rsidRPr="002A42F4" w:rsidRDefault="002A42F4" w:rsidP="002A42F4">
      <w:pPr>
        <w:pStyle w:val="Directions"/>
      </w:pPr>
      <w:r w:rsidRPr="002A42F4">
        <w:t xml:space="preserve">Include the following </w:t>
      </w:r>
      <w:r w:rsidR="006D1866">
        <w:t>when work is required under this Section.</w:t>
      </w:r>
    </w:p>
    <w:p w:rsidR="002A42F4" w:rsidRPr="002A42F4" w:rsidRDefault="002A42F4" w:rsidP="002A42F4">
      <w:pPr>
        <w:pStyle w:val="Heading3"/>
        <w:rPr>
          <w:vanish/>
          <w:specVanish/>
        </w:rPr>
      </w:pPr>
      <w:r w:rsidRPr="002A42F4">
        <w:t xml:space="preserve">401.17 Acceptance.  </w:t>
      </w:r>
    </w:p>
    <w:p w:rsidR="002A42F4" w:rsidRPr="002A42F4" w:rsidRDefault="002A42F4" w:rsidP="002A42F4">
      <w:pPr>
        <w:pStyle w:val="Instructions"/>
      </w:pPr>
      <w:r>
        <w:t xml:space="preserve"> </w:t>
      </w:r>
      <w:r w:rsidRPr="002A42F4">
        <w:t>Delete paragraph (b) and substitute the following:</w:t>
      </w:r>
    </w:p>
    <w:p w:rsidR="002A42F4" w:rsidRPr="002A42F4" w:rsidRDefault="002A42F4" w:rsidP="002A42F4">
      <w:pPr>
        <w:pStyle w:val="Indent1"/>
      </w:pPr>
      <w:r w:rsidRPr="002A42F4">
        <w:rPr>
          <w:b/>
        </w:rPr>
        <w:t>(b) VMA</w:t>
      </w:r>
      <w:r w:rsidRPr="002A42F4">
        <w:t>.  The upper and lower specification limits are the values shown in Table 401-1.  After the JMF has been verified according to Subsection 401.03 and 401.12, use the Contractor's combined coarse and fine bulk specific gravity of aggregate G</w:t>
      </w:r>
      <w:r w:rsidRPr="002A42F4">
        <w:rPr>
          <w:vertAlign w:val="subscript"/>
        </w:rPr>
        <w:t>sb</w:t>
      </w:r>
      <w:r w:rsidRPr="002A42F4">
        <w:t xml:space="preserve"> values to calculate VMA on field produced asphalt concrete mix samples;</w:t>
      </w:r>
    </w:p>
    <w:p w:rsidR="002A42F4" w:rsidRPr="002A42F4" w:rsidRDefault="002A42F4" w:rsidP="002A42F4">
      <w:pPr>
        <w:pStyle w:val="Subtitle"/>
      </w:pPr>
      <w:r w:rsidRPr="002A42F4">
        <w:t>Measurement</w:t>
      </w:r>
    </w:p>
    <w:p w:rsidR="002A42F4" w:rsidRPr="002A42F4" w:rsidRDefault="002A42F4" w:rsidP="002A42F4">
      <w:pPr>
        <w:pStyle w:val="Heading3"/>
        <w:rPr>
          <w:vanish/>
          <w:specVanish/>
        </w:rPr>
      </w:pPr>
      <w:r w:rsidRPr="002A42F4">
        <w:t xml:space="preserve">401.18  </w:t>
      </w:r>
    </w:p>
    <w:p w:rsidR="002A42F4" w:rsidRPr="002A42F4" w:rsidRDefault="002A42F4" w:rsidP="002A42F4">
      <w:pPr>
        <w:pStyle w:val="Instructions"/>
      </w:pPr>
      <w:r>
        <w:t xml:space="preserve"> </w:t>
      </w:r>
      <w:r w:rsidRPr="002A42F4">
        <w:t>Add the following:</w:t>
      </w:r>
    </w:p>
    <w:p w:rsidR="002A42F4" w:rsidRPr="002A42F4" w:rsidRDefault="002A42F4" w:rsidP="005733A6">
      <w:pPr>
        <w:pStyle w:val="BodyText"/>
      </w:pPr>
      <w:r w:rsidRPr="002A42F4">
        <w:t>Do not measure type 1 (liquid) antistrip additive that is used in lieu of type 3 (lime) antistrip additive.</w:t>
      </w:r>
    </w:p>
    <w:p w:rsidR="002A42F4" w:rsidRPr="002A42F4" w:rsidRDefault="002A42F4" w:rsidP="005733A6">
      <w:pPr>
        <w:pStyle w:val="Subtitle"/>
      </w:pPr>
      <w:r w:rsidRPr="005733A6">
        <w:t>Payment</w:t>
      </w:r>
    </w:p>
    <w:p w:rsidR="002A42F4" w:rsidRPr="005733A6" w:rsidRDefault="002A42F4" w:rsidP="005733A6">
      <w:pPr>
        <w:pStyle w:val="Heading3"/>
        <w:rPr>
          <w:vanish/>
          <w:specVanish/>
        </w:rPr>
      </w:pPr>
      <w:r w:rsidRPr="002A42F4">
        <w:t xml:space="preserve">401.19  </w:t>
      </w:r>
    </w:p>
    <w:p w:rsidR="002A42F4" w:rsidRPr="002A42F4" w:rsidRDefault="005733A6" w:rsidP="005733A6">
      <w:pPr>
        <w:pStyle w:val="Instructions"/>
      </w:pPr>
      <w:r>
        <w:t xml:space="preserve"> </w:t>
      </w:r>
      <w:r w:rsidR="002A42F4" w:rsidRPr="002A42F4">
        <w:t>Delete the text of this Subsection and substitute the following:</w:t>
      </w:r>
    </w:p>
    <w:p w:rsidR="002A42F4" w:rsidRPr="002A42F4" w:rsidRDefault="002A42F4" w:rsidP="005733A6">
      <w:pPr>
        <w:pStyle w:val="BodyText"/>
      </w:pPr>
      <w:r w:rsidRPr="002A42F4">
        <w:t>The accepted quantities will be paid at the contract price per unit of measurement for the Section 401 pay items listed in the bid schedule, except the asphalt concrete pavement contract price will be adjusted according to Subsections 106.05, 401.16, and Table 401-7.  Payment will be full compensation for the work prescribed in this Section.  See Subsection 109.05.</w:t>
      </w:r>
    </w:p>
    <w:p w:rsidR="002A42F4" w:rsidRPr="002A42F4" w:rsidRDefault="002A42F4" w:rsidP="005733A6">
      <w:pPr>
        <w:pStyle w:val="BodyText"/>
      </w:pPr>
      <w:r w:rsidRPr="002A42F4">
        <w:lastRenderedPageBreak/>
        <w:t>Payment for asphalt concrete pavement will be made at a price determined by multiplying the contract price by the material pay factor. The material pay factor is calculated as follows:</w:t>
      </w:r>
    </w:p>
    <w:p w:rsidR="002A42F4" w:rsidRPr="002A42F4" w:rsidRDefault="002A42F4" w:rsidP="005733A6">
      <w:pPr>
        <w:pStyle w:val="Indent1"/>
      </w:pPr>
      <w:r w:rsidRPr="002A42F4">
        <w:t>PF</w:t>
      </w:r>
      <w:r w:rsidRPr="002A42F4">
        <w:rPr>
          <w:vertAlign w:val="subscript"/>
        </w:rPr>
        <w:t>material</w:t>
      </w:r>
      <w:r w:rsidRPr="002A42F4">
        <w:t xml:space="preserve"> = 1 + [(PF</w:t>
      </w:r>
      <w:r w:rsidRPr="002A42F4">
        <w:rPr>
          <w:vertAlign w:val="subscript"/>
        </w:rPr>
        <w:t>Volumetric</w:t>
      </w:r>
      <w:r w:rsidRPr="002A42F4">
        <w:t xml:space="preserve"> – 1) + (PF</w:t>
      </w:r>
      <w:r w:rsidRPr="002A42F4">
        <w:rPr>
          <w:vertAlign w:val="subscript"/>
        </w:rPr>
        <w:t>PG</w:t>
      </w:r>
      <w:r w:rsidRPr="002A42F4">
        <w:t xml:space="preserve"> – 1)]</w:t>
      </w:r>
    </w:p>
    <w:p w:rsidR="002A42F4" w:rsidRPr="002A42F4" w:rsidRDefault="002A42F4" w:rsidP="005733A6">
      <w:pPr>
        <w:pStyle w:val="Indent1"/>
      </w:pPr>
      <w:r w:rsidRPr="002A42F4">
        <w:t>where:</w:t>
      </w:r>
    </w:p>
    <w:p w:rsidR="002A42F4" w:rsidRPr="002A42F4" w:rsidRDefault="002A42F4" w:rsidP="005733A6">
      <w:pPr>
        <w:pStyle w:val="Indent2"/>
        <w:ind w:left="2160" w:hanging="1440"/>
      </w:pPr>
      <w:r w:rsidRPr="002A42F4">
        <w:t>PF</w:t>
      </w:r>
      <w:r w:rsidRPr="002A42F4">
        <w:rPr>
          <w:vertAlign w:val="subscript"/>
        </w:rPr>
        <w:t>material</w:t>
      </w:r>
      <w:r w:rsidRPr="002A42F4">
        <w:t xml:space="preserve"> =</w:t>
      </w:r>
      <w:r w:rsidRPr="002A42F4">
        <w:tab/>
        <w:t>Material pay factor.</w:t>
      </w:r>
    </w:p>
    <w:p w:rsidR="002A42F4" w:rsidRPr="002A42F4" w:rsidRDefault="002A42F4" w:rsidP="005733A6">
      <w:pPr>
        <w:pStyle w:val="Indent2"/>
        <w:ind w:left="2160" w:hanging="1440"/>
      </w:pPr>
      <w:r w:rsidRPr="002A42F4">
        <w:t>PF</w:t>
      </w:r>
      <w:r w:rsidRPr="002A42F4">
        <w:rPr>
          <w:vertAlign w:val="subscript"/>
        </w:rPr>
        <w:t>Volumetric</w:t>
      </w:r>
      <w:r w:rsidRPr="002A42F4">
        <w:t xml:space="preserve"> =</w:t>
      </w:r>
      <w:r w:rsidRPr="002A42F4">
        <w:tab/>
        <w:t>Pay factor for asphalt concrete pavement. PF</w:t>
      </w:r>
      <w:r w:rsidRPr="002A42F4">
        <w:rPr>
          <w:vertAlign w:val="subscript"/>
        </w:rPr>
        <w:t>Volumetric</w:t>
      </w:r>
      <w:r w:rsidRPr="002A42F4">
        <w:t xml:space="preserve"> is the lowest single pay factor determined for asphalt binder content, VMA, and core density.</w:t>
      </w:r>
    </w:p>
    <w:p w:rsidR="002A42F4" w:rsidRPr="002A42F4" w:rsidRDefault="002A42F4" w:rsidP="005733A6">
      <w:pPr>
        <w:pStyle w:val="Indent2"/>
        <w:ind w:left="2160" w:hanging="1440"/>
      </w:pPr>
      <w:r w:rsidRPr="002A42F4">
        <w:t>PF</w:t>
      </w:r>
      <w:r w:rsidRPr="002A42F4">
        <w:rPr>
          <w:vertAlign w:val="subscript"/>
        </w:rPr>
        <w:t>PG</w:t>
      </w:r>
      <w:r w:rsidRPr="002A42F4">
        <w:t xml:space="preserve"> =</w:t>
      </w:r>
      <w:r w:rsidRPr="002A42F4">
        <w:tab/>
        <w:t>Pay factor for asphalt binder. The PF</w:t>
      </w:r>
      <w:r w:rsidRPr="002A42F4">
        <w:rPr>
          <w:vertAlign w:val="subscript"/>
        </w:rPr>
        <w:t>PG</w:t>
      </w:r>
      <w:r w:rsidRPr="002A42F4">
        <w:t xml:space="preserve"> formula is as follows:</w:t>
      </w:r>
    </w:p>
    <w:p w:rsidR="002A42F4" w:rsidRPr="002A42F4" w:rsidRDefault="002A42F4" w:rsidP="005733A6">
      <w:pPr>
        <w:pStyle w:val="BodyText"/>
        <w:ind w:left="2160"/>
      </w:pPr>
      <w:r w:rsidRPr="002A42F4">
        <w:t>PF</w:t>
      </w:r>
      <w:r w:rsidRPr="002A42F4">
        <w:rPr>
          <w:vertAlign w:val="subscript"/>
        </w:rPr>
        <w:t>PG</w:t>
      </w:r>
      <w:r w:rsidRPr="002A42F4">
        <w:t xml:space="preserve"> =</w:t>
      </w:r>
      <w:r w:rsidR="005733A6">
        <w:tab/>
      </w:r>
      <w:r w:rsidRPr="002A42F4">
        <w:t>(PF</w:t>
      </w:r>
      <w:r w:rsidRPr="002A42F4">
        <w:rPr>
          <w:vertAlign w:val="subscript"/>
        </w:rPr>
        <w:t>1</w:t>
      </w:r>
      <w:r w:rsidRPr="002A42F4">
        <w:t xml:space="preserve"> + PF</w:t>
      </w:r>
      <w:r w:rsidRPr="002A42F4">
        <w:rPr>
          <w:vertAlign w:val="subscript"/>
        </w:rPr>
        <w:t>2</w:t>
      </w:r>
      <w:r w:rsidRPr="002A42F4">
        <w:t xml:space="preserve"> + PF</w:t>
      </w:r>
      <w:r w:rsidRPr="002A42F4">
        <w:rPr>
          <w:vertAlign w:val="subscript"/>
        </w:rPr>
        <w:t>3</w:t>
      </w:r>
      <w:r w:rsidRPr="002A42F4">
        <w:t xml:space="preserve"> + ….PF</w:t>
      </w:r>
      <w:r w:rsidRPr="002A42F4">
        <w:rPr>
          <w:vertAlign w:val="subscript"/>
        </w:rPr>
        <w:t>n</w:t>
      </w:r>
      <w:r w:rsidRPr="002A42F4">
        <w:t>) / n</w:t>
      </w:r>
    </w:p>
    <w:p w:rsidR="002A42F4" w:rsidRPr="002A42F4" w:rsidRDefault="002A42F4" w:rsidP="005733A6">
      <w:pPr>
        <w:pStyle w:val="BodyText"/>
        <w:ind w:left="2160"/>
      </w:pPr>
      <w:r w:rsidRPr="002A42F4">
        <w:t>where:</w:t>
      </w:r>
    </w:p>
    <w:p w:rsidR="002A42F4" w:rsidRPr="002A42F4" w:rsidRDefault="002A42F4" w:rsidP="005733A6">
      <w:pPr>
        <w:pStyle w:val="BodyText"/>
        <w:ind w:left="2520"/>
      </w:pPr>
      <w:r w:rsidRPr="002A42F4">
        <w:t>PF</w:t>
      </w:r>
      <w:r w:rsidRPr="002A42F4">
        <w:rPr>
          <w:vertAlign w:val="subscript"/>
        </w:rPr>
        <w:t>#</w:t>
      </w:r>
      <w:r w:rsidRPr="002A42F4">
        <w:t xml:space="preserve"> =</w:t>
      </w:r>
      <w:r w:rsidRPr="002A42F4">
        <w:tab/>
        <w:t>For each sample, the lowest pay factor determined from any test in Table 401-7. If the lowest pay factor for a sample is in reject, the sample’s pay factor is zero.</w:t>
      </w:r>
    </w:p>
    <w:p w:rsidR="002A42F4" w:rsidRPr="002A42F4" w:rsidRDefault="002A42F4" w:rsidP="005733A6">
      <w:pPr>
        <w:pStyle w:val="Indent3"/>
        <w:ind w:left="2520"/>
      </w:pPr>
      <w:r w:rsidRPr="002A42F4">
        <w:t>n =</w:t>
      </w:r>
      <w:r w:rsidRPr="002A42F4">
        <w:tab/>
        <w:t>Number of samples tested.</w:t>
      </w:r>
    </w:p>
    <w:p w:rsidR="002A42F4" w:rsidRPr="002A42F4" w:rsidRDefault="002A42F4" w:rsidP="005733A6">
      <w:pPr>
        <w:pStyle w:val="BodyText"/>
      </w:pPr>
      <w:r w:rsidRPr="002A42F4">
        <w:t>If either the pay factor for the asphalt binder (PF</w:t>
      </w:r>
      <w:r w:rsidRPr="002A42F4">
        <w:rPr>
          <w:vertAlign w:val="subscript"/>
        </w:rPr>
        <w:t>PG</w:t>
      </w:r>
      <w:r w:rsidRPr="002A42F4">
        <w:t>) or the pay factor for asphalt concrete pavement (PF</w:t>
      </w:r>
      <w:r w:rsidRPr="002A42F4">
        <w:rPr>
          <w:vertAlign w:val="subscript"/>
        </w:rPr>
        <w:t>Volumetric</w:t>
      </w:r>
      <w:r w:rsidRPr="002A42F4">
        <w:t>) is below 0.75, the lot for asphalt concrete pavement is in reject.</w:t>
      </w:r>
    </w:p>
    <w:p w:rsidR="002A42F4" w:rsidRPr="002A42F4" w:rsidRDefault="002A42F4" w:rsidP="005733A6">
      <w:pPr>
        <w:pStyle w:val="BodyText"/>
      </w:pPr>
      <w:r w:rsidRPr="002A42F4">
        <w:t>When the contract specifies a pavement roughness Type I, Type II, or Type III, a separate pay adjustment will be made for pavement roughness calculated as follows:</w:t>
      </w:r>
    </w:p>
    <w:p w:rsidR="002A42F4" w:rsidRPr="002A42F4" w:rsidRDefault="002A42F4" w:rsidP="005733A6">
      <w:pPr>
        <w:pStyle w:val="Indent1"/>
      </w:pPr>
      <w:r w:rsidRPr="002A42F4">
        <w:t>Type I, Type II, or Type III Pay Adjustment = (RF)(PF</w:t>
      </w:r>
      <w:r w:rsidRPr="002A42F4">
        <w:rPr>
          <w:vertAlign w:val="subscript"/>
        </w:rPr>
        <w:t>rough</w:t>
      </w:r>
      <w:r w:rsidRPr="002A42F4">
        <w:t xml:space="preserve"> – 1.00)(L) – (LRPR)</w:t>
      </w:r>
    </w:p>
    <w:p w:rsidR="002A42F4" w:rsidRPr="002A42F4" w:rsidRDefault="002A42F4" w:rsidP="005733A6">
      <w:pPr>
        <w:pStyle w:val="Indent1"/>
      </w:pPr>
      <w:r w:rsidRPr="002A42F4">
        <w:t>where:</w:t>
      </w:r>
    </w:p>
    <w:p w:rsidR="002A42F4" w:rsidRPr="002A42F4" w:rsidRDefault="002A42F4" w:rsidP="005733A6">
      <w:pPr>
        <w:pStyle w:val="Indent2"/>
        <w:ind w:left="2160" w:hanging="1440"/>
      </w:pPr>
      <w:r w:rsidRPr="002A42F4">
        <w:t>PF</w:t>
      </w:r>
      <w:r w:rsidRPr="002A42F4">
        <w:rPr>
          <w:vertAlign w:val="subscript"/>
        </w:rPr>
        <w:t>rough</w:t>
      </w:r>
      <w:r w:rsidRPr="002A42F4">
        <w:t xml:space="preserve"> = </w:t>
      </w:r>
      <w:r w:rsidRPr="002A42F4">
        <w:tab/>
        <w:t>Pay factor from Tables 401-3, 401-4, or 401-5.</w:t>
      </w:r>
    </w:p>
    <w:p w:rsidR="002A42F4" w:rsidRPr="002A42F4" w:rsidRDefault="002A42F4" w:rsidP="005733A6">
      <w:pPr>
        <w:pStyle w:val="Indent2"/>
        <w:ind w:left="2160" w:hanging="1440"/>
      </w:pPr>
      <w:r w:rsidRPr="002A42F4">
        <w:t xml:space="preserve">L = </w:t>
      </w:r>
      <w:r w:rsidRPr="002A42F4">
        <w:tab/>
        <w:t>Total project length in lane miles (lane kilometers).</w:t>
      </w:r>
    </w:p>
    <w:p w:rsidR="002A42F4" w:rsidRPr="002A42F4" w:rsidRDefault="002A42F4" w:rsidP="005733A6">
      <w:pPr>
        <w:pStyle w:val="Indent2"/>
        <w:ind w:left="2160" w:hanging="1440"/>
      </w:pPr>
      <w:r w:rsidRPr="002A42F4">
        <w:t xml:space="preserve">LRPR = </w:t>
      </w:r>
      <w:r w:rsidRPr="002A42F4">
        <w:tab/>
        <w:t>Localized roughness pay reduction from table 401-6.</w:t>
      </w:r>
    </w:p>
    <w:p w:rsidR="002A42F4" w:rsidRPr="002A42F4" w:rsidRDefault="002A42F4" w:rsidP="005733A6">
      <w:pPr>
        <w:pStyle w:val="Indent2"/>
        <w:ind w:left="2160" w:hanging="1440"/>
      </w:pPr>
      <w:r w:rsidRPr="002A42F4">
        <w:t xml:space="preserve">RF = </w:t>
      </w:r>
      <w:r w:rsidRPr="002A42F4">
        <w:tab/>
        <w:t>Roughness factor:  100,000 U.S. Customary (62,200 Metric).</w:t>
      </w:r>
    </w:p>
    <w:p w:rsidR="002A42F4" w:rsidRPr="005733A6" w:rsidRDefault="002A42F4" w:rsidP="005733A6">
      <w:pPr>
        <w:pStyle w:val="Directions"/>
        <w:rPr>
          <w:rStyle w:val="DirectionsInfo"/>
        </w:rPr>
      </w:pPr>
      <w:r w:rsidRPr="005733A6">
        <w:rPr>
          <w:rStyle w:val="DirectionsInfo"/>
        </w:rPr>
        <w:t>WFL Specification 03/25/19</w:t>
      </w:r>
      <w:r w:rsidR="00A54203">
        <w:rPr>
          <w:rStyle w:val="DirectionsInfo"/>
        </w:rPr>
        <w:tab/>
        <w:t>4010060</w:t>
      </w:r>
    </w:p>
    <w:p w:rsidR="002A42F4" w:rsidRPr="002A42F4" w:rsidRDefault="002A42F4" w:rsidP="005733A6">
      <w:pPr>
        <w:pStyle w:val="Directions"/>
      </w:pPr>
      <w:r w:rsidRPr="002A42F4">
        <w:t>Include in all projects that require work in this Section.  When Type I or Type II Pavement Roughness is required, coordinate with WFL Materials to adjust the reporting time in Table 401-8</w:t>
      </w:r>
    </w:p>
    <w:p w:rsidR="000F04F7" w:rsidRPr="000F04F7" w:rsidRDefault="002A42F4" w:rsidP="000F04F7">
      <w:pPr>
        <w:pStyle w:val="Instructions"/>
      </w:pPr>
      <w:r w:rsidRPr="002A42F4">
        <w:t>Delete Table 401-8 and substitute the following</w:t>
      </w:r>
      <w:r>
        <w:t>:</w:t>
      </w:r>
    </w:p>
    <w:tbl>
      <w:tblPr>
        <w:tblStyle w:val="TableSCRRotated2"/>
        <w:tblW w:w="7211" w:type="dxa"/>
        <w:tblInd w:w="-255" w:type="dxa"/>
        <w:tblLook w:val="0480" w:firstRow="0" w:lastRow="0" w:firstColumn="1" w:lastColumn="0" w:noHBand="0" w:noVBand="1"/>
      </w:tblPr>
      <w:tblGrid>
        <w:gridCol w:w="570"/>
        <w:gridCol w:w="925"/>
        <w:gridCol w:w="317"/>
        <w:gridCol w:w="1858"/>
        <w:gridCol w:w="1696"/>
        <w:gridCol w:w="1845"/>
      </w:tblGrid>
      <w:tr w:rsidR="009B42C0" w:rsidRPr="009B42C0" w:rsidTr="009B42C0">
        <w:trPr>
          <w:trHeight w:val="1119"/>
        </w:trPr>
        <w:tc>
          <w:tcPr>
            <w:cnfStyle w:val="001000000000" w:firstRow="0" w:lastRow="0" w:firstColumn="1" w:lastColumn="0" w:oddVBand="0" w:evenVBand="0" w:oddHBand="0" w:evenHBand="0" w:firstRowFirstColumn="0" w:firstRowLastColumn="0" w:lastRowFirstColumn="0" w:lastRowLastColumn="0"/>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0F04F7">
            <w:pPr>
              <w:pageBreakBefore/>
              <w:rPr>
                <w:sz w:val="22"/>
                <w:szCs w:val="22"/>
              </w:rPr>
            </w:pPr>
            <w:r w:rsidRPr="009B42C0">
              <w:rPr>
                <w:sz w:val="22"/>
                <w:szCs w:val="22"/>
              </w:rPr>
              <w:lastRenderedPageBreak/>
              <w:t>Table 401-8</w:t>
            </w:r>
          </w:p>
          <w:p w:rsidR="009B42C0" w:rsidRPr="009B42C0" w:rsidRDefault="009B42C0" w:rsidP="009B42C0">
            <w:pPr>
              <w:rPr>
                <w:sz w:val="22"/>
                <w:szCs w:val="22"/>
              </w:rPr>
            </w:pPr>
            <w:r w:rsidRPr="009B42C0">
              <w:rPr>
                <w:sz w:val="22"/>
                <w:szCs w:val="22"/>
              </w:rPr>
              <w:t>Sampling, Testing and Acceptance Requirements</w:t>
            </w: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Remarks</w:t>
            </w:r>
          </w:p>
        </w:tc>
        <w:tc>
          <w:tcPr>
            <w:tcW w:w="317" w:type="dxa"/>
            <w:vMerge w:val="restart"/>
            <w:tcBorders>
              <w:top w:val="single" w:sz="8" w:space="0" w:color="auto"/>
            </w:tcBorders>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Source</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Not required when using Government- provided sources</w:t>
            </w:r>
          </w:p>
        </w:tc>
        <w:tc>
          <w:tcPr>
            <w:tcW w:w="1696" w:type="dxa"/>
            <w:tcBorders>
              <w:top w:val="single" w:sz="4"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w:t>
            </w:r>
          </w:p>
        </w:tc>
        <w:tc>
          <w:tcPr>
            <w:tcW w:w="1845" w:type="dxa"/>
            <w:tcBorders>
              <w:top w:val="single" w:sz="8"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Not required when using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 pre-crushed</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commercial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source</w:t>
            </w:r>
          </w:p>
        </w:tc>
      </w:tr>
      <w:tr w:rsidR="009B42C0" w:rsidRPr="009B42C0" w:rsidTr="009B42C0">
        <w:trPr>
          <w:trHeight w:val="1034"/>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Reporting</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Time</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Before production</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t>"</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24</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hours</w:t>
            </w:r>
          </w:p>
        </w:tc>
      </w:tr>
      <w:tr w:rsidR="009B42C0" w:rsidRPr="009B42C0" w:rsidTr="009B42C0">
        <w:trPr>
          <w:trHeight w:val="782"/>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 xml:space="preserve">Split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Sample</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Yes</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t>"</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No</w:t>
            </w:r>
          </w:p>
        </w:tc>
      </w:tr>
      <w:tr w:rsidR="009B42C0" w:rsidRPr="009B42C0" w:rsidTr="00B761B4">
        <w:trPr>
          <w:trHeight w:val="1034"/>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vAlign w:val="cente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Point of</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Sampling</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Source of material</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Asphalt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Supplier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or</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mixing plant</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Crusher belt</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(during production)</w:t>
            </w:r>
          </w:p>
        </w:tc>
      </w:tr>
      <w:tr w:rsidR="009B42C0" w:rsidRPr="009B42C0" w:rsidTr="00B761B4">
        <w:trPr>
          <w:trHeight w:val="1034"/>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Sampling</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Frequency</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1 per type &amp; not less than 5 per source of material</w:t>
            </w:r>
            <w:r w:rsidRPr="009B42C0">
              <w:rPr>
                <w:sz w:val="22"/>
                <w:szCs w:val="22"/>
                <w:vertAlign w:val="superscript"/>
              </w:rPr>
              <w:t>(5)</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t>"</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2 per day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Per stockpile</w:t>
            </w:r>
          </w:p>
        </w:tc>
      </w:tr>
      <w:tr w:rsidR="009B42C0" w:rsidRPr="009B42C0" w:rsidTr="00B761B4">
        <w:trPr>
          <w:trHeight w:val="1304"/>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vAlign w:val="cente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Test Methods Specifications</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Subsection</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703.07</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AASHTO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M 320</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AASHTO</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T 27 &amp; T 11</w:t>
            </w:r>
          </w:p>
        </w:tc>
      </w:tr>
      <w:tr w:rsidR="009B42C0" w:rsidRPr="009B42C0" w:rsidTr="00B761B4">
        <w:trPr>
          <w:trHeight w:val="872"/>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Category</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w:t>
            </w:r>
          </w:p>
        </w:tc>
      </w:tr>
      <w:tr w:rsidR="009B42C0" w:rsidRPr="009B42C0" w:rsidTr="00B761B4">
        <w:trPr>
          <w:trHeight w:val="1394"/>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Characteristic</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Aggregate quality</w:t>
            </w:r>
          </w:p>
        </w:tc>
        <w:tc>
          <w:tcPr>
            <w:tcW w:w="1696" w:type="dxa"/>
            <w:tcBorders>
              <w:top w:val="single" w:sz="6" w:space="0" w:color="auto"/>
              <w:left w:val="single" w:sz="4" w:space="0" w:color="auto"/>
              <w:bottom w:val="single" w:sz="6" w:space="0" w:color="auto"/>
              <w:right w:val="single" w:sz="4" w:space="0" w:color="auto"/>
            </w:tcBorders>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Quality</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Gradation</w:t>
            </w:r>
          </w:p>
        </w:tc>
      </w:tr>
      <w:tr w:rsidR="009B42C0" w:rsidRPr="009B42C0" w:rsidTr="00B761B4">
        <w:trPr>
          <w:trHeight w:val="1214"/>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Type of Acceptance (Subsection)</w:t>
            </w:r>
          </w:p>
        </w:tc>
        <w:tc>
          <w:tcPr>
            <w:tcW w:w="317" w:type="dxa"/>
            <w:vMerge/>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Measured and tested for conformance (106.04 &amp; 105)</w:t>
            </w:r>
          </w:p>
        </w:tc>
        <w:tc>
          <w:tcPr>
            <w:tcW w:w="1696" w:type="dxa"/>
            <w:tcBorders>
              <w:top w:val="single" w:sz="6" w:space="0" w:color="auto"/>
              <w:left w:val="single" w:sz="4" w:space="0" w:color="auto"/>
              <w:bottom w:val="single" w:sz="6"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t>"</w:t>
            </w:r>
          </w:p>
        </w:tc>
        <w:tc>
          <w:tcPr>
            <w:tcW w:w="1845" w:type="dxa"/>
            <w:tcBorders>
              <w:top w:val="single" w:sz="6" w:space="0" w:color="auto"/>
              <w:left w:val="single" w:sz="4" w:space="0" w:color="auto"/>
              <w:bottom w:val="single" w:sz="6"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 xml:space="preserve">Process </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control</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(153.03)</w:t>
            </w:r>
          </w:p>
        </w:tc>
      </w:tr>
      <w:tr w:rsidR="009B42C0" w:rsidRPr="009B42C0" w:rsidTr="00B761B4">
        <w:trPr>
          <w:trHeight w:val="1232"/>
        </w:trPr>
        <w:tc>
          <w:tcPr>
            <w:cnfStyle w:val="001000000000" w:firstRow="0" w:lastRow="0" w:firstColumn="1" w:lastColumn="0" w:oddVBand="0" w:evenVBand="0" w:oddHBand="0" w:evenHBand="0" w:firstRowFirstColumn="0" w:firstRowLastColumn="0" w:lastRowFirstColumn="0" w:lastRowLastColumn="0"/>
            <w:tcW w:w="570" w:type="dxa"/>
            <w:vMerge/>
            <w:tcBorders>
              <w:top w:val="single" w:sz="4" w:space="0" w:color="auto"/>
              <w:left w:val="single" w:sz="4" w:space="0" w:color="auto"/>
              <w:bottom w:val="single" w:sz="4" w:space="0" w:color="auto"/>
              <w:right w:val="single" w:sz="4" w:space="0" w:color="auto"/>
            </w:tcBorders>
            <w:textDirection w:val="btLr"/>
            <w:vAlign w:val="center"/>
            <w:hideMark/>
          </w:tcPr>
          <w:p w:rsidR="009B42C0" w:rsidRPr="009B42C0" w:rsidRDefault="009B42C0" w:rsidP="009B42C0">
            <w:pPr>
              <w:rPr>
                <w:sz w:val="22"/>
                <w:szCs w:val="22"/>
              </w:rPr>
            </w:pPr>
          </w:p>
        </w:tc>
        <w:tc>
          <w:tcPr>
            <w:tcW w:w="925" w:type="dxa"/>
            <w:tcBorders>
              <w:top w:val="single" w:sz="4"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Material or</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Product</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b/>
                <w:sz w:val="22"/>
                <w:szCs w:val="22"/>
              </w:rPr>
            </w:pPr>
            <w:r w:rsidRPr="009B42C0">
              <w:rPr>
                <w:b/>
                <w:sz w:val="22"/>
                <w:szCs w:val="22"/>
              </w:rPr>
              <w:t>(Subsection)</w:t>
            </w:r>
          </w:p>
        </w:tc>
        <w:tc>
          <w:tcPr>
            <w:tcW w:w="317" w:type="dxa"/>
            <w:vMerge/>
            <w:tcBorders>
              <w:bottom w:val="single" w:sz="8" w:space="0" w:color="auto"/>
            </w:tcBorders>
            <w:textDirection w:val="btLr"/>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p>
        </w:tc>
        <w:tc>
          <w:tcPr>
            <w:tcW w:w="1858" w:type="dxa"/>
            <w:tcBorders>
              <w:top w:val="single" w:sz="6" w:space="0" w:color="auto"/>
              <w:bottom w:val="single" w:sz="4"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Asphalt</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concrete</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aggregate</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(703.07)</w:t>
            </w:r>
          </w:p>
        </w:tc>
        <w:tc>
          <w:tcPr>
            <w:tcW w:w="1696" w:type="dxa"/>
            <w:tcBorders>
              <w:top w:val="single" w:sz="6" w:space="0" w:color="auto"/>
              <w:left w:val="single" w:sz="4" w:space="0" w:color="auto"/>
              <w:bottom w:val="single" w:sz="4" w:space="0" w:color="auto"/>
              <w:right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Asphalt binder</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(702.01)</w:t>
            </w:r>
          </w:p>
        </w:tc>
        <w:tc>
          <w:tcPr>
            <w:tcW w:w="1845" w:type="dxa"/>
            <w:tcBorders>
              <w:top w:val="single" w:sz="6" w:space="0" w:color="auto"/>
              <w:left w:val="single" w:sz="4" w:space="0" w:color="auto"/>
              <w:bottom w:val="single" w:sz="4" w:space="0" w:color="auto"/>
            </w:tcBorders>
            <w:textDirection w:val="btLr"/>
            <w:hideMark/>
          </w:tcPr>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Asphalt</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concrete</w:t>
            </w:r>
          </w:p>
          <w:p w:rsidR="009B42C0" w:rsidRPr="009B42C0" w:rsidRDefault="009B42C0" w:rsidP="009B42C0">
            <w:pPr>
              <w:cnfStyle w:val="000000000000" w:firstRow="0" w:lastRow="0" w:firstColumn="0" w:lastColumn="0" w:oddVBand="0" w:evenVBand="0" w:oddHBand="0" w:evenHBand="0" w:firstRowFirstColumn="0" w:firstRowLastColumn="0" w:lastRowFirstColumn="0" w:lastRowLastColumn="0"/>
              <w:rPr>
                <w:sz w:val="22"/>
                <w:szCs w:val="22"/>
              </w:rPr>
            </w:pPr>
            <w:r w:rsidRPr="009B42C0">
              <w:rPr>
                <w:sz w:val="22"/>
                <w:szCs w:val="22"/>
              </w:rPr>
              <w:t>(703.07)</w:t>
            </w:r>
          </w:p>
        </w:tc>
      </w:tr>
    </w:tbl>
    <w:tbl>
      <w:tblPr>
        <w:tblStyle w:val="TableSCRRotated3"/>
        <w:tblW w:w="8248" w:type="dxa"/>
        <w:tblInd w:w="-275" w:type="dxa"/>
        <w:tblBorders>
          <w:top w:val="single" w:sz="4" w:space="0" w:color="auto"/>
          <w:left w:val="single" w:sz="4" w:space="0" w:color="auto"/>
          <w:bottom w:val="single" w:sz="4" w:space="0" w:color="auto"/>
          <w:right w:val="single" w:sz="4" w:space="0" w:color="auto"/>
          <w:insideV w:val="single" w:sz="6" w:space="0" w:color="auto"/>
        </w:tblBorders>
        <w:tblLook w:val="0480" w:firstRow="0" w:lastRow="0" w:firstColumn="1" w:lastColumn="0" w:noHBand="0" w:noVBand="1"/>
      </w:tblPr>
      <w:tblGrid>
        <w:gridCol w:w="571"/>
        <w:gridCol w:w="883"/>
        <w:gridCol w:w="317"/>
        <w:gridCol w:w="2141"/>
        <w:gridCol w:w="570"/>
        <w:gridCol w:w="1093"/>
        <w:gridCol w:w="806"/>
        <w:gridCol w:w="748"/>
        <w:gridCol w:w="340"/>
        <w:gridCol w:w="779"/>
      </w:tblGrid>
      <w:tr w:rsidR="000F04F7" w:rsidRPr="00D62A00" w:rsidTr="000F04F7">
        <w:trPr>
          <w:trHeight w:val="929"/>
        </w:trPr>
        <w:tc>
          <w:tcPr>
            <w:cnfStyle w:val="001000000000" w:firstRow="0" w:lastRow="0" w:firstColumn="1" w:lastColumn="0" w:oddVBand="0" w:evenVBand="0" w:oddHBand="0" w:evenHBand="0" w:firstRowFirstColumn="0" w:firstRowLastColumn="0" w:lastRowFirstColumn="0" w:lastRowLastColumn="0"/>
            <w:tcW w:w="571" w:type="dxa"/>
            <w:vMerge w:val="restart"/>
            <w:textDirection w:val="btLr"/>
            <w:vAlign w:val="center"/>
            <w:hideMark/>
          </w:tcPr>
          <w:p w:rsidR="000F04F7" w:rsidRPr="00D62A00" w:rsidRDefault="000F04F7" w:rsidP="000F04F7">
            <w:pPr>
              <w:pageBreakBefore/>
              <w:rPr>
                <w:sz w:val="22"/>
                <w:szCs w:val="22"/>
              </w:rPr>
            </w:pPr>
            <w:r w:rsidRPr="00D62A00">
              <w:rPr>
                <w:sz w:val="22"/>
                <w:szCs w:val="22"/>
              </w:rPr>
              <w:lastRenderedPageBreak/>
              <w:t>Table 401-8 (continued)</w:t>
            </w:r>
          </w:p>
          <w:p w:rsidR="000F04F7" w:rsidRPr="00D62A00" w:rsidRDefault="000F04F7" w:rsidP="00343E71">
            <w:pPr>
              <w:rPr>
                <w:sz w:val="22"/>
                <w:szCs w:val="22"/>
              </w:rPr>
            </w:pPr>
            <w:r w:rsidRPr="00D62A00">
              <w:rPr>
                <w:sz w:val="22"/>
                <w:szCs w:val="22"/>
              </w:rPr>
              <w:t>Sampling, Testing and Acceptance Requirements</w:t>
            </w: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Remarks</w:t>
            </w:r>
          </w:p>
        </w:tc>
        <w:tc>
          <w:tcPr>
            <w:tcW w:w="317" w:type="dxa"/>
            <w:vMerge w:val="restart"/>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xml:space="preserve">Mix </w:t>
            </w:r>
            <w:r w:rsidRPr="00D62A00">
              <w:rPr>
                <w:b/>
                <w:sz w:val="22"/>
                <w:szCs w:val="22"/>
              </w:rPr>
              <w:t>Design</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1093"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806"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0F04F7" w:rsidRPr="00D62A00" w:rsidTr="000F04F7">
        <w:trPr>
          <w:trHeight w:val="1034"/>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Reporting</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Time</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30 days</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 xml:space="preserve">before </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producing</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1093"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r>
      <w:tr w:rsidR="000F04F7" w:rsidRPr="00D62A00" w:rsidTr="000F04F7">
        <w:trPr>
          <w:trHeight w:val="782"/>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 xml:space="preserve">Split </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Sample</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Yes</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109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r>
      <w:tr w:rsidR="000F04F7" w:rsidRPr="00D62A00" w:rsidTr="000F04F7">
        <w:trPr>
          <w:trHeight w:val="944"/>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Point of</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Sampling</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Stockpiles</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109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0F04F7" w:rsidRPr="00D62A00" w:rsidTr="000F04F7">
        <w:trPr>
          <w:trHeight w:val="1034"/>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jc w:val="left"/>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Sampling</w:t>
            </w:r>
          </w:p>
          <w:p w:rsidR="000F04F7" w:rsidRPr="00D62A00" w:rsidRDefault="000F04F7" w:rsidP="00343E71">
            <w:pPr>
              <w:jc w:val="left"/>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Frequency</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 per</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Submitted</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mix design</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1093"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r>
      <w:tr w:rsidR="000F04F7" w:rsidRPr="00D62A00" w:rsidTr="000F04F7">
        <w:trPr>
          <w:trHeight w:val="1304"/>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Test Methods Specifications</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27 &amp; T 11</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308</w:t>
            </w:r>
          </w:p>
        </w:tc>
        <w:tc>
          <w:tcPr>
            <w:tcW w:w="109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84 &amp; T 85</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R 35</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283</w:t>
            </w:r>
          </w:p>
        </w:tc>
      </w:tr>
      <w:tr w:rsidR="000F04F7" w:rsidRPr="00D62A00" w:rsidTr="000F04F7">
        <w:trPr>
          <w:trHeight w:val="872"/>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Category</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570"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109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0F04F7" w:rsidRPr="00D62A00" w:rsidTr="000F04F7">
        <w:trPr>
          <w:trHeight w:val="1574"/>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Characteristic</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141"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Gradation</w:t>
            </w:r>
          </w:p>
        </w:tc>
        <w:tc>
          <w:tcPr>
            <w:tcW w:w="57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RAP asphalt</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binder content</w:t>
            </w:r>
          </w:p>
        </w:tc>
        <w:tc>
          <w:tcPr>
            <w:tcW w:w="1093"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Bulk specific</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gravity of</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aggregate</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(coarse and fine)</w:t>
            </w:r>
          </w:p>
        </w:tc>
        <w:tc>
          <w:tcPr>
            <w:tcW w:w="806"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VMA</w:t>
            </w:r>
          </w:p>
        </w:tc>
        <w:tc>
          <w:tcPr>
            <w:tcW w:w="748"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VFA</w:t>
            </w:r>
          </w:p>
        </w:tc>
        <w:tc>
          <w:tcPr>
            <w:tcW w:w="340"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Air voids</w:t>
            </w:r>
          </w:p>
        </w:tc>
        <w:tc>
          <w:tcPr>
            <w:tcW w:w="779" w:type="dxa"/>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Tensile strength</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ratio</w:t>
            </w:r>
          </w:p>
        </w:tc>
      </w:tr>
      <w:tr w:rsidR="000F04F7" w:rsidRPr="00D62A00" w:rsidTr="000F04F7">
        <w:trPr>
          <w:trHeight w:val="1214"/>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Type of Acceptance (</w:t>
            </w:r>
            <w:r>
              <w:rPr>
                <w:b/>
                <w:sz w:val="22"/>
                <w:szCs w:val="22"/>
              </w:rPr>
              <w:t>Subsection</w:t>
            </w:r>
            <w:r w:rsidRPr="00D62A00">
              <w:rPr>
                <w:b/>
                <w:sz w:val="22"/>
                <w:szCs w:val="22"/>
              </w:rPr>
              <w:t>)</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6477" w:type="dxa"/>
            <w:gridSpan w:val="7"/>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Measured and tested for</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conformance</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(106.04)</w:t>
            </w:r>
          </w:p>
        </w:tc>
      </w:tr>
      <w:tr w:rsidR="000F04F7" w:rsidRPr="00D62A00" w:rsidTr="000F04F7">
        <w:trPr>
          <w:trHeight w:val="1232"/>
        </w:trPr>
        <w:tc>
          <w:tcPr>
            <w:cnfStyle w:val="001000000000" w:firstRow="0" w:lastRow="0" w:firstColumn="1" w:lastColumn="0" w:oddVBand="0" w:evenVBand="0" w:oddHBand="0" w:evenHBand="0" w:firstRowFirstColumn="0" w:firstRowLastColumn="0" w:lastRowFirstColumn="0" w:lastRowLastColumn="0"/>
            <w:tcW w:w="571" w:type="dxa"/>
            <w:vMerge/>
            <w:textDirection w:val="btLr"/>
            <w:vAlign w:val="center"/>
            <w:hideMark/>
          </w:tcPr>
          <w:p w:rsidR="000F04F7" w:rsidRPr="00D62A00" w:rsidRDefault="000F04F7" w:rsidP="00343E71">
            <w:pPr>
              <w:rPr>
                <w:sz w:val="22"/>
                <w:szCs w:val="22"/>
              </w:rPr>
            </w:pPr>
          </w:p>
        </w:tc>
        <w:tc>
          <w:tcPr>
            <w:tcW w:w="883" w:type="dxa"/>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Material or</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Product</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w:t>
            </w:r>
            <w:r>
              <w:rPr>
                <w:b/>
                <w:sz w:val="22"/>
                <w:szCs w:val="22"/>
              </w:rPr>
              <w:t>Subsection</w:t>
            </w:r>
            <w:r w:rsidRPr="00D62A00">
              <w:rPr>
                <w:b/>
                <w:sz w:val="22"/>
                <w:szCs w:val="22"/>
              </w:rPr>
              <w:t>)</w:t>
            </w:r>
          </w:p>
        </w:tc>
        <w:tc>
          <w:tcPr>
            <w:tcW w:w="317" w:type="dxa"/>
            <w:vMerge/>
            <w:textDirection w:val="btLr"/>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6477" w:type="dxa"/>
            <w:gridSpan w:val="7"/>
            <w:textDirection w:val="btLr"/>
            <w:hideMark/>
          </w:tcPr>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Asphalt</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 xml:space="preserve">concrete </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mixture</w:t>
            </w:r>
          </w:p>
          <w:p w:rsidR="000F04F7" w:rsidRPr="00D62A00" w:rsidRDefault="000F04F7" w:rsidP="00343E71">
            <w:pPr>
              <w:cnfStyle w:val="000000000000" w:firstRow="0" w:lastRow="0" w:firstColumn="0" w:lastColumn="0" w:oddVBand="0" w:evenVBand="0" w:oddHBand="0" w:evenHBand="0" w:firstRowFirstColumn="0" w:firstRowLastColumn="0" w:lastRowFirstColumn="0" w:lastRowLastColumn="0"/>
              <w:rPr>
                <w:sz w:val="22"/>
                <w:szCs w:val="22"/>
              </w:rPr>
            </w:pPr>
          </w:p>
        </w:tc>
      </w:tr>
    </w:tbl>
    <w:p w:rsidR="00536EFE" w:rsidRDefault="00536EFE" w:rsidP="00A83E37">
      <w:pPr>
        <w:pStyle w:val="BodyText"/>
      </w:pPr>
    </w:p>
    <w:tbl>
      <w:tblPr>
        <w:tblStyle w:val="TableSCRRotated31"/>
        <w:tblW w:w="9080" w:type="dxa"/>
        <w:tblInd w:w="-275" w:type="dxa"/>
        <w:tblBorders>
          <w:top w:val="single" w:sz="4" w:space="0" w:color="auto"/>
          <w:left w:val="single" w:sz="4" w:space="0" w:color="auto"/>
          <w:bottom w:val="single" w:sz="4" w:space="0" w:color="auto"/>
          <w:right w:val="single" w:sz="4" w:space="0" w:color="auto"/>
          <w:insideV w:val="single" w:sz="6" w:space="0" w:color="auto"/>
        </w:tblBorders>
        <w:tblLook w:val="0480" w:firstRow="0" w:lastRow="0" w:firstColumn="1" w:lastColumn="0" w:noHBand="0" w:noVBand="1"/>
      </w:tblPr>
      <w:tblGrid>
        <w:gridCol w:w="681"/>
        <w:gridCol w:w="1022"/>
        <w:gridCol w:w="441"/>
        <w:gridCol w:w="792"/>
        <w:gridCol w:w="629"/>
        <w:gridCol w:w="726"/>
        <w:gridCol w:w="812"/>
        <w:gridCol w:w="636"/>
        <w:gridCol w:w="648"/>
        <w:gridCol w:w="611"/>
        <w:gridCol w:w="2082"/>
      </w:tblGrid>
      <w:tr w:rsidR="00E04C95" w:rsidRPr="00E04C95" w:rsidTr="00E04C95">
        <w:trPr>
          <w:trHeight w:val="1109"/>
        </w:trPr>
        <w:tc>
          <w:tcPr>
            <w:cnfStyle w:val="001000000000" w:firstRow="0" w:lastRow="0" w:firstColumn="1" w:lastColumn="0" w:oddVBand="0" w:evenVBand="0" w:oddHBand="0" w:evenHBand="0" w:firstRowFirstColumn="0" w:firstRowLastColumn="0" w:lastRowFirstColumn="0" w:lastRowLastColumn="0"/>
            <w:tcW w:w="639" w:type="dxa"/>
            <w:vMerge w:val="restart"/>
            <w:textDirection w:val="btLr"/>
          </w:tcPr>
          <w:p w:rsidR="00E04C95" w:rsidRPr="00E04C95" w:rsidRDefault="00E04C95" w:rsidP="00E04C95">
            <w:pPr>
              <w:pageBreakBefore/>
              <w:rPr>
                <w:sz w:val="22"/>
                <w:szCs w:val="22"/>
              </w:rPr>
            </w:pPr>
            <w:r w:rsidRPr="00E04C95">
              <w:rPr>
                <w:sz w:val="22"/>
                <w:szCs w:val="22"/>
              </w:rPr>
              <w:lastRenderedPageBreak/>
              <w:t>Table 401-8 (continued)</w:t>
            </w:r>
          </w:p>
          <w:p w:rsidR="00E04C95" w:rsidRPr="00E04C95" w:rsidRDefault="00E04C95" w:rsidP="00E04C95">
            <w:pPr>
              <w:rPr>
                <w:sz w:val="22"/>
                <w:szCs w:val="22"/>
              </w:rPr>
            </w:pPr>
            <w:r w:rsidRPr="00E04C95">
              <w:rPr>
                <w:sz w:val="22"/>
                <w:szCs w:val="22"/>
              </w:rPr>
              <w:t>Sampling, Testing, and Acceptance Requirements</w:t>
            </w: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Remarks</w:t>
            </w:r>
          </w:p>
        </w:tc>
        <w:tc>
          <w:tcPr>
            <w:tcW w:w="413" w:type="dxa"/>
            <w:vMerge w:val="restart"/>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b/>
                <w:sz w:val="22"/>
                <w:szCs w:val="22"/>
              </w:rPr>
              <w:t>Production Start-up (control strip)</w:t>
            </w:r>
          </w:p>
        </w:tc>
        <w:tc>
          <w:tcPr>
            <w:tcW w:w="3368" w:type="dxa"/>
            <w:gridSpan w:val="5"/>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607"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Deliver cores to CO after determining specific gravity and compaction</w:t>
            </w:r>
          </w:p>
        </w:tc>
      </w:tr>
      <w:tr w:rsidR="00E04C95" w:rsidRPr="00E04C95" w:rsidTr="00343E71">
        <w:trPr>
          <w:trHeight w:val="1008"/>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Reporting Time</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3368" w:type="dxa"/>
            <w:gridSpan w:val="5"/>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 xml:space="preserve">6 </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hours</w:t>
            </w:r>
          </w:p>
        </w:tc>
        <w:tc>
          <w:tcPr>
            <w:tcW w:w="607"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24</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hours</w:t>
            </w:r>
          </w:p>
        </w:tc>
      </w:tr>
      <w:tr w:rsidR="00E04C95" w:rsidRPr="00E04C95" w:rsidTr="00E04C95">
        <w:trPr>
          <w:trHeight w:val="800"/>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Split Sample</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3368" w:type="dxa"/>
            <w:gridSpan w:val="5"/>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Yes</w:t>
            </w:r>
          </w:p>
        </w:tc>
        <w:tc>
          <w:tcPr>
            <w:tcW w:w="607"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r>
      <w:tr w:rsidR="00E04C95" w:rsidRPr="00E04C95" w:rsidTr="00E04C95">
        <w:trPr>
          <w:trHeight w:val="1034"/>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Point of Sampling</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3368" w:type="dxa"/>
            <w:gridSpan w:val="5"/>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Behind the paver before compaction</w:t>
            </w:r>
          </w:p>
        </w:tc>
        <w:tc>
          <w:tcPr>
            <w:tcW w:w="607"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 xml:space="preserve">In-place </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after</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compaction</w:t>
            </w:r>
          </w:p>
        </w:tc>
      </w:tr>
      <w:tr w:rsidR="00E04C95" w:rsidRPr="00E04C95" w:rsidTr="00E04C95">
        <w:trPr>
          <w:trHeight w:val="1052"/>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Sampling Frequency</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p>
        </w:tc>
        <w:tc>
          <w:tcPr>
            <w:tcW w:w="3368" w:type="dxa"/>
            <w:gridSpan w:val="5"/>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3</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minimum</w:t>
            </w:r>
          </w:p>
        </w:tc>
        <w:tc>
          <w:tcPr>
            <w:tcW w:w="607"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5</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minimum</w:t>
            </w:r>
          </w:p>
        </w:tc>
      </w:tr>
      <w:tr w:rsidR="00E04C95" w:rsidRPr="00E04C95" w:rsidTr="00E04C95">
        <w:trPr>
          <w:trHeight w:val="1304"/>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Test Methods Specifications</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3368" w:type="dxa"/>
            <w:gridSpan w:val="5"/>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AASHTO</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T 30</w:t>
            </w:r>
          </w:p>
        </w:tc>
        <w:tc>
          <w:tcPr>
            <w:tcW w:w="607"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AASHTO</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T 308</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AASHTO</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R 35</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AASHTO</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T 166</w:t>
            </w:r>
          </w:p>
        </w:tc>
      </w:tr>
      <w:tr w:rsidR="00E04C95" w:rsidRPr="00E04C95" w:rsidTr="00E04C95">
        <w:trPr>
          <w:trHeight w:val="944"/>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Category</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742"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589"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w:t>
            </w:r>
          </w:p>
        </w:tc>
        <w:tc>
          <w:tcPr>
            <w:tcW w:w="680"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w:t>
            </w:r>
          </w:p>
        </w:tc>
        <w:tc>
          <w:tcPr>
            <w:tcW w:w="76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w:t>
            </w:r>
          </w:p>
        </w:tc>
        <w:tc>
          <w:tcPr>
            <w:tcW w:w="596"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II</w:t>
            </w:r>
          </w:p>
        </w:tc>
        <w:tc>
          <w:tcPr>
            <w:tcW w:w="607"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w:t>
            </w:r>
          </w:p>
        </w:tc>
        <w:tc>
          <w:tcPr>
            <w:tcW w:w="573"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w:t>
            </w:r>
          </w:p>
        </w:tc>
        <w:tc>
          <w:tcPr>
            <w:tcW w:w="1951" w:type="dxa"/>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I</w:t>
            </w:r>
          </w:p>
        </w:tc>
      </w:tr>
      <w:tr w:rsidR="00E04C95" w:rsidRPr="00E04C95" w:rsidTr="00E04C95">
        <w:trPr>
          <w:trHeight w:val="1394"/>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Characteristic</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742"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Gradation</w:t>
            </w:r>
          </w:p>
        </w:tc>
        <w:tc>
          <w:tcPr>
            <w:tcW w:w="589"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No. 4 (4.75 mm)</w:t>
            </w:r>
          </w:p>
        </w:tc>
        <w:tc>
          <w:tcPr>
            <w:tcW w:w="680"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No. 30 (600 µm)</w:t>
            </w:r>
          </w:p>
        </w:tc>
        <w:tc>
          <w:tcPr>
            <w:tcW w:w="761"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No. 200 (75 µm)</w:t>
            </w:r>
          </w:p>
        </w:tc>
        <w:tc>
          <w:tcPr>
            <w:tcW w:w="596"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Other specified</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sieves</w:t>
            </w:r>
          </w:p>
        </w:tc>
        <w:tc>
          <w:tcPr>
            <w:tcW w:w="607"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Asphalt</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Content</w:t>
            </w:r>
            <w:r w:rsidRPr="00E04C95">
              <w:rPr>
                <w:sz w:val="22"/>
                <w:szCs w:val="22"/>
                <w:vertAlign w:val="superscript"/>
              </w:rPr>
              <w:t>(1)</w:t>
            </w:r>
          </w:p>
        </w:tc>
        <w:tc>
          <w:tcPr>
            <w:tcW w:w="573" w:type="dxa"/>
            <w:textDirection w:val="btLr"/>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VMA</w:t>
            </w:r>
          </w:p>
        </w:tc>
        <w:tc>
          <w:tcPr>
            <w:tcW w:w="1951" w:type="dxa"/>
            <w:textDirection w:val="btLr"/>
          </w:tcPr>
          <w:p w:rsidR="00E04C95" w:rsidRPr="00E04C95" w:rsidRDefault="00E04C95" w:rsidP="00E04C95">
            <w:pPr>
              <w:spacing w:before="240"/>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Density</w:t>
            </w:r>
            <w:r w:rsidRPr="00E04C95">
              <w:rPr>
                <w:sz w:val="22"/>
                <w:szCs w:val="22"/>
                <w:vertAlign w:val="superscript"/>
              </w:rPr>
              <w:t>(2)</w:t>
            </w:r>
          </w:p>
        </w:tc>
      </w:tr>
      <w:tr w:rsidR="00E04C95" w:rsidRPr="00E04C95" w:rsidTr="00E04C95">
        <w:trPr>
          <w:trHeight w:val="1232"/>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Type of Acceptance (Subsection)</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6499" w:type="dxa"/>
            <w:gridSpan w:val="8"/>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Statistical</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(106.05)</w:t>
            </w:r>
          </w:p>
        </w:tc>
      </w:tr>
      <w:tr w:rsidR="00E04C95" w:rsidRPr="00E04C95" w:rsidTr="00E04C95">
        <w:trPr>
          <w:trHeight w:val="1214"/>
        </w:trPr>
        <w:tc>
          <w:tcPr>
            <w:cnfStyle w:val="001000000000" w:firstRow="0" w:lastRow="0" w:firstColumn="1" w:lastColumn="0" w:oddVBand="0" w:evenVBand="0" w:oddHBand="0" w:evenHBand="0" w:firstRowFirstColumn="0" w:firstRowLastColumn="0" w:lastRowFirstColumn="0" w:lastRowLastColumn="0"/>
            <w:tcW w:w="639" w:type="dxa"/>
            <w:vMerge/>
            <w:textDirection w:val="btLr"/>
          </w:tcPr>
          <w:p w:rsidR="00E04C95" w:rsidRPr="00E04C95" w:rsidRDefault="00E04C95" w:rsidP="00E04C95">
            <w:pPr>
              <w:rPr>
                <w:sz w:val="22"/>
                <w:szCs w:val="22"/>
              </w:rPr>
            </w:pPr>
          </w:p>
        </w:tc>
        <w:tc>
          <w:tcPr>
            <w:tcW w:w="958" w:type="dxa"/>
            <w:textDirection w:val="btLr"/>
            <w:vAlign w:val="cente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b/>
                <w:sz w:val="22"/>
                <w:szCs w:val="22"/>
              </w:rPr>
            </w:pPr>
            <w:r w:rsidRPr="00E04C95">
              <w:rPr>
                <w:b/>
                <w:sz w:val="22"/>
                <w:szCs w:val="22"/>
              </w:rPr>
              <w:t>Material or Product (Subsection)</w:t>
            </w:r>
          </w:p>
        </w:tc>
        <w:tc>
          <w:tcPr>
            <w:tcW w:w="413" w:type="dxa"/>
            <w:vMerge/>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p>
        </w:tc>
        <w:tc>
          <w:tcPr>
            <w:tcW w:w="6499" w:type="dxa"/>
            <w:gridSpan w:val="8"/>
            <w:textDirection w:val="btLr"/>
            <w:hideMark/>
          </w:tcPr>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Asphalt</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concrete</w:t>
            </w:r>
          </w:p>
          <w:p w:rsidR="00E04C95" w:rsidRPr="00E04C95" w:rsidRDefault="00E04C95" w:rsidP="00E04C95">
            <w:pPr>
              <w:cnfStyle w:val="000000000000" w:firstRow="0" w:lastRow="0" w:firstColumn="0" w:lastColumn="0" w:oddVBand="0" w:evenVBand="0" w:oddHBand="0" w:evenHBand="0" w:firstRowFirstColumn="0" w:firstRowLastColumn="0" w:lastRowFirstColumn="0" w:lastRowLastColumn="0"/>
              <w:rPr>
                <w:sz w:val="22"/>
                <w:szCs w:val="22"/>
              </w:rPr>
            </w:pPr>
            <w:r w:rsidRPr="00E04C95">
              <w:rPr>
                <w:sz w:val="22"/>
                <w:szCs w:val="22"/>
              </w:rPr>
              <w:t>pavement</w:t>
            </w:r>
          </w:p>
        </w:tc>
      </w:tr>
    </w:tbl>
    <w:p w:rsidR="00536EFE" w:rsidRDefault="00536EFE" w:rsidP="00A83E37">
      <w:pPr>
        <w:pStyle w:val="BodyText"/>
      </w:pPr>
    </w:p>
    <w:tbl>
      <w:tblPr>
        <w:tblStyle w:val="TableSCRRotated4"/>
        <w:tblW w:w="10475" w:type="dxa"/>
        <w:tblInd w:w="-571" w:type="dxa"/>
        <w:tblBorders>
          <w:top w:val="single" w:sz="4" w:space="0" w:color="auto"/>
          <w:left w:val="single" w:sz="4" w:space="0" w:color="auto"/>
          <w:bottom w:val="single" w:sz="4" w:space="0" w:color="auto"/>
          <w:right w:val="single" w:sz="4" w:space="0" w:color="auto"/>
          <w:insideV w:val="single" w:sz="6" w:space="0" w:color="auto"/>
        </w:tblBorders>
        <w:tblLook w:val="0480" w:firstRow="0" w:lastRow="0" w:firstColumn="1" w:lastColumn="0" w:noHBand="0" w:noVBand="1"/>
      </w:tblPr>
      <w:tblGrid>
        <w:gridCol w:w="1013"/>
        <w:gridCol w:w="994"/>
        <w:gridCol w:w="317"/>
        <w:gridCol w:w="2117"/>
        <w:gridCol w:w="985"/>
        <w:gridCol w:w="1213"/>
        <w:gridCol w:w="418"/>
        <w:gridCol w:w="1273"/>
        <w:gridCol w:w="938"/>
        <w:gridCol w:w="1207"/>
      </w:tblGrid>
      <w:tr w:rsidR="0076372D" w:rsidRPr="0076372D" w:rsidTr="00DF12F3">
        <w:trPr>
          <w:trHeight w:val="1199"/>
        </w:trPr>
        <w:tc>
          <w:tcPr>
            <w:cnfStyle w:val="001000000000" w:firstRow="0" w:lastRow="0" w:firstColumn="1" w:lastColumn="0" w:oddVBand="0" w:evenVBand="0" w:oddHBand="0" w:evenHBand="0" w:firstRowFirstColumn="0" w:firstRowLastColumn="0" w:lastRowFirstColumn="0" w:lastRowLastColumn="0"/>
            <w:tcW w:w="1013" w:type="dxa"/>
            <w:vMerge w:val="restart"/>
            <w:textDirection w:val="btLr"/>
          </w:tcPr>
          <w:p w:rsidR="0076372D" w:rsidRPr="0076372D" w:rsidRDefault="0076372D" w:rsidP="0076372D">
            <w:pPr>
              <w:pageBreakBefore/>
              <w:rPr>
                <w:sz w:val="22"/>
                <w:szCs w:val="22"/>
              </w:rPr>
            </w:pPr>
            <w:r w:rsidRPr="0076372D">
              <w:rPr>
                <w:sz w:val="22"/>
                <w:szCs w:val="22"/>
              </w:rPr>
              <w:lastRenderedPageBreak/>
              <w:t>Table 401-8 (continued)</w:t>
            </w:r>
          </w:p>
          <w:p w:rsidR="0076372D" w:rsidRPr="0076372D" w:rsidRDefault="0076372D" w:rsidP="0076372D">
            <w:pPr>
              <w:rPr>
                <w:sz w:val="22"/>
                <w:szCs w:val="22"/>
              </w:rPr>
            </w:pPr>
            <w:r w:rsidRPr="0076372D">
              <w:rPr>
                <w:sz w:val="22"/>
                <w:szCs w:val="22"/>
              </w:rPr>
              <w:t>Sampling, Testing, and Acceptance Requirements</w:t>
            </w: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br w:type="page"/>
              <w:t>Remarks</w:t>
            </w:r>
          </w:p>
        </w:tc>
        <w:tc>
          <w:tcPr>
            <w:tcW w:w="317" w:type="dxa"/>
            <w:vMerge w:val="restart"/>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76372D">
              <w:rPr>
                <w:b/>
                <w:sz w:val="22"/>
                <w:szCs w:val="22"/>
              </w:rPr>
              <w:t>Production Start-up (control strip) (continued)</w:t>
            </w: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See Subsection 401.12</w:t>
            </w:r>
          </w:p>
        </w:tc>
        <w:tc>
          <w:tcPr>
            <w:tcW w:w="418" w:type="dxa"/>
            <w:vMerge w:val="restart"/>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b/>
                <w:sz w:val="22"/>
                <w:szCs w:val="22"/>
              </w:rPr>
              <w:t>Production</w:t>
            </w: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Deliver cores to CO after testing is completed</w:t>
            </w:r>
          </w:p>
        </w:tc>
      </w:tr>
      <w:tr w:rsidR="0076372D" w:rsidRPr="0076372D" w:rsidTr="00DF12F3">
        <w:trPr>
          <w:trHeight w:val="1124"/>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Reporting Time</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Immediately upon completion of test</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24</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hours</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24 </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hours</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6</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hours</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24</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hours</w:t>
            </w:r>
          </w:p>
        </w:tc>
      </w:tr>
      <w:tr w:rsidR="0076372D" w:rsidRPr="0076372D" w:rsidTr="00DF12F3">
        <w:trPr>
          <w:trHeight w:val="782"/>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Split Sample</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No</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Yes</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No</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Yes</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r>
      <w:tr w:rsidR="0076372D" w:rsidRPr="0076372D" w:rsidTr="00DF12F3">
        <w:trPr>
          <w:trHeight w:val="1124"/>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Point of Sampling</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Hauling vehicle before dumping or windrow before pickup</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Behind the paver before compaction</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At core location before coring</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Behind the paver before compaction</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In-place after compacting</w:t>
            </w:r>
          </w:p>
        </w:tc>
      </w:tr>
      <w:tr w:rsidR="0076372D" w:rsidRPr="0076372D" w:rsidTr="0076372D">
        <w:trPr>
          <w:trHeight w:val="1034"/>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Sampling Frequency</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First load </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and as determined </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by CO</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thereafter</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3</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minimum </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5</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minimum</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1 per</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700 tons</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(650 </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metric tons)</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r>
      <w:tr w:rsidR="0076372D" w:rsidRPr="0076372D" w:rsidTr="0076372D">
        <w:trPr>
          <w:trHeight w:val="1304"/>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Test Methods Specifications</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AASHTO</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T 209</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ASTM</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D2950</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AASHTO</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T 308</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AASHTO</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R 35</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AASHTO</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T 166</w:t>
            </w:r>
          </w:p>
        </w:tc>
      </w:tr>
      <w:tr w:rsidR="0076372D" w:rsidRPr="0076372D" w:rsidTr="0076372D">
        <w:trPr>
          <w:trHeight w:val="872"/>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Category</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I</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I</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I</w:t>
            </w:r>
          </w:p>
        </w:tc>
      </w:tr>
      <w:tr w:rsidR="0076372D" w:rsidRPr="0076372D" w:rsidTr="00DF12F3">
        <w:trPr>
          <w:trHeight w:val="1394"/>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Characteristic</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11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Mix </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temperature</w:t>
            </w:r>
          </w:p>
        </w:tc>
        <w:tc>
          <w:tcPr>
            <w:tcW w:w="985"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Maximum specific gravity</w:t>
            </w:r>
            <w:r w:rsidRPr="0076372D">
              <w:rPr>
                <w:sz w:val="22"/>
                <w:szCs w:val="22"/>
                <w:vertAlign w:val="superscript"/>
              </w:rPr>
              <w:t>(4)</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Density</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127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Asphalt</w:t>
            </w:r>
          </w:p>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 xml:space="preserve"> Content</w:t>
            </w:r>
            <w:r w:rsidRPr="0076372D">
              <w:rPr>
                <w:sz w:val="22"/>
                <w:szCs w:val="22"/>
                <w:vertAlign w:val="superscript"/>
              </w:rPr>
              <w:t>(1)</w:t>
            </w:r>
          </w:p>
        </w:tc>
        <w:tc>
          <w:tcPr>
            <w:tcW w:w="938"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VMA</w:t>
            </w:r>
          </w:p>
        </w:tc>
        <w:tc>
          <w:tcPr>
            <w:tcW w:w="1207"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Density</w:t>
            </w:r>
            <w:r w:rsidRPr="0076372D">
              <w:rPr>
                <w:sz w:val="22"/>
                <w:szCs w:val="22"/>
                <w:vertAlign w:val="superscript"/>
              </w:rPr>
              <w:t>(2)</w:t>
            </w:r>
          </w:p>
        </w:tc>
      </w:tr>
      <w:tr w:rsidR="0076372D" w:rsidRPr="0076372D" w:rsidTr="00DF12F3">
        <w:trPr>
          <w:gridAfter w:val="1"/>
          <w:wAfter w:w="1207" w:type="dxa"/>
          <w:trHeight w:val="1214"/>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Type of Acceptance (Subsection)</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3102" w:type="dxa"/>
            <w:gridSpan w:val="2"/>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Measured and tested for conformance (106.04)</w:t>
            </w:r>
          </w:p>
        </w:tc>
        <w:tc>
          <w:tcPr>
            <w:tcW w:w="1213" w:type="dxa"/>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Process control (153.03)</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2211" w:type="dxa"/>
            <w:gridSpan w:val="2"/>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Statistical (106.05)</w:t>
            </w:r>
          </w:p>
        </w:tc>
      </w:tr>
      <w:tr w:rsidR="0076372D" w:rsidRPr="0076372D" w:rsidTr="00DF12F3">
        <w:trPr>
          <w:trHeight w:val="1232"/>
        </w:trPr>
        <w:tc>
          <w:tcPr>
            <w:cnfStyle w:val="001000000000" w:firstRow="0" w:lastRow="0" w:firstColumn="1" w:lastColumn="0" w:oddVBand="0" w:evenVBand="0" w:oddHBand="0" w:evenHBand="0" w:firstRowFirstColumn="0" w:firstRowLastColumn="0" w:lastRowFirstColumn="0" w:lastRowLastColumn="0"/>
            <w:tcW w:w="1013" w:type="dxa"/>
            <w:vMerge/>
            <w:textDirection w:val="btLr"/>
          </w:tcPr>
          <w:p w:rsidR="0076372D" w:rsidRPr="0076372D" w:rsidRDefault="0076372D" w:rsidP="0076372D">
            <w:pPr>
              <w:rPr>
                <w:sz w:val="22"/>
                <w:szCs w:val="22"/>
              </w:rPr>
            </w:pPr>
          </w:p>
        </w:tc>
        <w:tc>
          <w:tcPr>
            <w:tcW w:w="994" w:type="dxa"/>
            <w:textDirection w:val="btLr"/>
            <w:vAlign w:val="center"/>
            <w:hideMark/>
          </w:tcPr>
          <w:p w:rsidR="0076372D" w:rsidRPr="00DF12F3" w:rsidRDefault="0076372D" w:rsidP="0076372D">
            <w:pPr>
              <w:cnfStyle w:val="000000000000" w:firstRow="0" w:lastRow="0" w:firstColumn="0" w:lastColumn="0" w:oddVBand="0" w:evenVBand="0" w:oddHBand="0" w:evenHBand="0" w:firstRowFirstColumn="0" w:firstRowLastColumn="0" w:lastRowFirstColumn="0" w:lastRowLastColumn="0"/>
              <w:rPr>
                <w:b/>
                <w:sz w:val="22"/>
                <w:szCs w:val="22"/>
              </w:rPr>
            </w:pPr>
            <w:r w:rsidRPr="00DF12F3">
              <w:rPr>
                <w:b/>
                <w:sz w:val="22"/>
                <w:szCs w:val="22"/>
              </w:rPr>
              <w:t>Material or Product (Subsection)</w:t>
            </w:r>
          </w:p>
        </w:tc>
        <w:tc>
          <w:tcPr>
            <w:tcW w:w="317"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4315" w:type="dxa"/>
            <w:gridSpan w:val="3"/>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Asphalt concrete pavement</w:t>
            </w:r>
          </w:p>
        </w:tc>
        <w:tc>
          <w:tcPr>
            <w:tcW w:w="418" w:type="dxa"/>
            <w:vMerge/>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p>
        </w:tc>
        <w:tc>
          <w:tcPr>
            <w:tcW w:w="3418" w:type="dxa"/>
            <w:gridSpan w:val="3"/>
            <w:textDirection w:val="btLr"/>
          </w:tcPr>
          <w:p w:rsidR="0076372D" w:rsidRPr="0076372D" w:rsidRDefault="0076372D" w:rsidP="0076372D">
            <w:pPr>
              <w:cnfStyle w:val="000000000000" w:firstRow="0" w:lastRow="0" w:firstColumn="0" w:lastColumn="0" w:oddVBand="0" w:evenVBand="0" w:oddHBand="0" w:evenHBand="0" w:firstRowFirstColumn="0" w:firstRowLastColumn="0" w:lastRowFirstColumn="0" w:lastRowLastColumn="0"/>
              <w:rPr>
                <w:sz w:val="22"/>
                <w:szCs w:val="22"/>
              </w:rPr>
            </w:pPr>
            <w:r w:rsidRPr="0076372D">
              <w:rPr>
                <w:sz w:val="22"/>
                <w:szCs w:val="22"/>
              </w:rPr>
              <w:t>Asphalt concrete pavement</w:t>
            </w:r>
          </w:p>
        </w:tc>
      </w:tr>
    </w:tbl>
    <w:tbl>
      <w:tblPr>
        <w:tblStyle w:val="TableSCRRotated11"/>
        <w:tblW w:w="6162" w:type="dxa"/>
        <w:tblInd w:w="440" w:type="dxa"/>
        <w:tblBorders>
          <w:top w:val="single" w:sz="4" w:space="0" w:color="auto"/>
          <w:left w:val="single" w:sz="4" w:space="0" w:color="auto"/>
          <w:bottom w:val="single" w:sz="4" w:space="0" w:color="auto"/>
          <w:right w:val="single" w:sz="4" w:space="0" w:color="auto"/>
          <w:insideV w:val="single" w:sz="6" w:space="0" w:color="auto"/>
        </w:tblBorders>
        <w:tblLook w:val="0480" w:firstRow="0" w:lastRow="0" w:firstColumn="1" w:lastColumn="0" w:noHBand="0" w:noVBand="1"/>
      </w:tblPr>
      <w:tblGrid>
        <w:gridCol w:w="932"/>
        <w:gridCol w:w="921"/>
        <w:gridCol w:w="451"/>
        <w:gridCol w:w="1398"/>
        <w:gridCol w:w="974"/>
        <w:gridCol w:w="1486"/>
      </w:tblGrid>
      <w:tr w:rsidR="00343E71" w:rsidRPr="00343E71" w:rsidTr="0024538E">
        <w:trPr>
          <w:trHeight w:val="1109"/>
        </w:trPr>
        <w:tc>
          <w:tcPr>
            <w:cnfStyle w:val="001000000000" w:firstRow="0" w:lastRow="0" w:firstColumn="1" w:lastColumn="0" w:oddVBand="0" w:evenVBand="0" w:oddHBand="0" w:evenHBand="0" w:firstRowFirstColumn="0" w:firstRowLastColumn="0" w:lastRowFirstColumn="0" w:lastRowLastColumn="0"/>
            <w:tcW w:w="932" w:type="dxa"/>
            <w:vMerge w:val="restart"/>
            <w:textDirection w:val="btLr"/>
          </w:tcPr>
          <w:p w:rsidR="00343E71" w:rsidRPr="00343E71" w:rsidRDefault="00343E71" w:rsidP="00343E71">
            <w:pPr>
              <w:pageBreakBefore/>
              <w:rPr>
                <w:sz w:val="22"/>
                <w:szCs w:val="22"/>
              </w:rPr>
            </w:pPr>
            <w:r w:rsidRPr="00343E71">
              <w:lastRenderedPageBreak/>
              <w:br w:type="page"/>
            </w:r>
            <w:r w:rsidRPr="00343E71">
              <w:br w:type="page"/>
            </w:r>
            <w:r w:rsidRPr="00343E71">
              <w:rPr>
                <w:sz w:val="22"/>
                <w:szCs w:val="22"/>
              </w:rPr>
              <w:t>Table 401-8 (continued)</w:t>
            </w:r>
          </w:p>
          <w:p w:rsidR="00343E71" w:rsidRPr="00343E71" w:rsidRDefault="00343E71" w:rsidP="00343E71">
            <w:pPr>
              <w:rPr>
                <w:sz w:val="22"/>
                <w:szCs w:val="22"/>
              </w:rPr>
            </w:pPr>
            <w:r w:rsidRPr="00343E71">
              <w:rPr>
                <w:sz w:val="22"/>
                <w:szCs w:val="22"/>
              </w:rPr>
              <w:t>Sampling, Testing, and Acceptance Requirements</w:t>
            </w: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Remarks</w:t>
            </w:r>
          </w:p>
        </w:tc>
        <w:tc>
          <w:tcPr>
            <w:tcW w:w="451" w:type="dxa"/>
            <w:vMerge w:val="restart"/>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b/>
                <w:sz w:val="22"/>
                <w:szCs w:val="22"/>
              </w:rPr>
              <w:t>Production (continued)</w:t>
            </w: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Test by Government</w:t>
            </w:r>
          </w:p>
        </w:tc>
      </w:tr>
      <w:tr w:rsidR="00343E71" w:rsidRPr="00343E71" w:rsidTr="00170FB8">
        <w:trPr>
          <w:trHeight w:val="1214"/>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Reporting Time</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Immediately upon completion of measurement</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24</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hours</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w:t>
            </w:r>
          </w:p>
        </w:tc>
      </w:tr>
      <w:tr w:rsidR="00343E71" w:rsidRPr="00343E71" w:rsidTr="0024538E">
        <w:trPr>
          <w:trHeight w:val="872"/>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Split Sample</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No</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Yes</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Yes</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2  1-quart</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(1-liter) samples</w:t>
            </w:r>
          </w:p>
        </w:tc>
      </w:tr>
      <w:tr w:rsidR="00343E71" w:rsidRPr="00343E71" w:rsidTr="0024538E">
        <w:trPr>
          <w:trHeight w:val="1304"/>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Point of Sampling</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Hauling vehicle before dumping, or windrow before pickup</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Behind the paver before compaction</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In line between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tank and</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mixing plant</w:t>
            </w:r>
          </w:p>
        </w:tc>
      </w:tr>
      <w:tr w:rsidR="00343E71" w:rsidRPr="00343E71" w:rsidTr="0099365D">
        <w:trPr>
          <w:trHeight w:val="1124"/>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Sampling Frequency</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First load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and as</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determined by CO thereafter </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Minimum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1 per day</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1per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2000 tons</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(1800</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metric tons)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of mix</w:t>
            </w:r>
          </w:p>
        </w:tc>
      </w:tr>
      <w:tr w:rsidR="00343E71" w:rsidRPr="00343E71" w:rsidTr="00170FB8">
        <w:trPr>
          <w:trHeight w:val="1304"/>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Test Methods Specifications</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AASHTO</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T209</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AASHTO</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M 320</w:t>
            </w:r>
          </w:p>
        </w:tc>
      </w:tr>
      <w:tr w:rsidR="00343E71" w:rsidRPr="00343E71" w:rsidTr="0024538E">
        <w:trPr>
          <w:trHeight w:val="962"/>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Category</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See Table</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401-7</w:t>
            </w:r>
          </w:p>
        </w:tc>
      </w:tr>
      <w:tr w:rsidR="00343E71" w:rsidRPr="00343E71" w:rsidTr="00170FB8">
        <w:trPr>
          <w:trHeight w:val="1394"/>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Characteristic</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1398"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Placement temperature</w:t>
            </w:r>
          </w:p>
        </w:tc>
        <w:tc>
          <w:tcPr>
            <w:tcW w:w="974"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Maximum specific</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Gravity</w:t>
            </w:r>
            <w:r w:rsidRPr="00343E71">
              <w:rPr>
                <w:sz w:val="22"/>
                <w:szCs w:val="22"/>
                <w:vertAlign w:val="superscript"/>
              </w:rPr>
              <w:t>(3)(4)</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Quality</w:t>
            </w:r>
          </w:p>
        </w:tc>
      </w:tr>
      <w:tr w:rsidR="00343E71" w:rsidRPr="00343E71" w:rsidTr="00170FB8">
        <w:trPr>
          <w:trHeight w:val="1214"/>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Type of Acceptance (Subsection)</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372" w:type="dxa"/>
            <w:gridSpan w:val="2"/>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Measured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and tested</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for conformance (106.04) </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Measured</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and tested</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for conformance</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(106.04)</w:t>
            </w:r>
          </w:p>
        </w:tc>
      </w:tr>
      <w:tr w:rsidR="00343E71" w:rsidRPr="00343E71" w:rsidTr="00343E71">
        <w:trPr>
          <w:trHeight w:val="1168"/>
        </w:trPr>
        <w:tc>
          <w:tcPr>
            <w:cnfStyle w:val="001000000000" w:firstRow="0" w:lastRow="0" w:firstColumn="1" w:lastColumn="0" w:oddVBand="0" w:evenVBand="0" w:oddHBand="0" w:evenHBand="0" w:firstRowFirstColumn="0" w:firstRowLastColumn="0" w:lastRowFirstColumn="0" w:lastRowLastColumn="0"/>
            <w:tcW w:w="932" w:type="dxa"/>
            <w:vMerge/>
            <w:textDirection w:val="btLr"/>
          </w:tcPr>
          <w:p w:rsidR="00343E71" w:rsidRPr="00343E71" w:rsidRDefault="00343E71" w:rsidP="00343E71">
            <w:pPr>
              <w:rPr>
                <w:sz w:val="22"/>
                <w:szCs w:val="22"/>
              </w:rPr>
            </w:pPr>
          </w:p>
        </w:tc>
        <w:tc>
          <w:tcPr>
            <w:tcW w:w="921" w:type="dxa"/>
            <w:textDirection w:val="btLr"/>
            <w:vAlign w:val="center"/>
            <w:hideMark/>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b/>
                <w:sz w:val="22"/>
                <w:szCs w:val="22"/>
              </w:rPr>
            </w:pPr>
            <w:r w:rsidRPr="00343E71">
              <w:rPr>
                <w:b/>
                <w:sz w:val="22"/>
                <w:szCs w:val="22"/>
              </w:rPr>
              <w:t>Material or Product (Subsection)</w:t>
            </w:r>
          </w:p>
        </w:tc>
        <w:tc>
          <w:tcPr>
            <w:tcW w:w="451" w:type="dxa"/>
            <w:vMerge/>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p>
        </w:tc>
        <w:tc>
          <w:tcPr>
            <w:tcW w:w="2372" w:type="dxa"/>
            <w:gridSpan w:val="2"/>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Asphalt</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concrete</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pavement</w:t>
            </w:r>
          </w:p>
        </w:tc>
        <w:tc>
          <w:tcPr>
            <w:tcW w:w="1486" w:type="dxa"/>
            <w:textDirection w:val="btLr"/>
          </w:tcPr>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 xml:space="preserve">Asphalt </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binder</w:t>
            </w:r>
          </w:p>
          <w:p w:rsidR="00343E71" w:rsidRPr="00343E71" w:rsidRDefault="00343E71" w:rsidP="00343E71">
            <w:pPr>
              <w:cnfStyle w:val="000000000000" w:firstRow="0" w:lastRow="0" w:firstColumn="0" w:lastColumn="0" w:oddVBand="0" w:evenVBand="0" w:oddHBand="0" w:evenHBand="0" w:firstRowFirstColumn="0" w:firstRowLastColumn="0" w:lastRowFirstColumn="0" w:lastRowLastColumn="0"/>
              <w:rPr>
                <w:sz w:val="22"/>
                <w:szCs w:val="22"/>
              </w:rPr>
            </w:pPr>
            <w:r w:rsidRPr="00343E71">
              <w:rPr>
                <w:sz w:val="22"/>
                <w:szCs w:val="22"/>
              </w:rPr>
              <w:t>(702.01)</w:t>
            </w:r>
          </w:p>
        </w:tc>
      </w:tr>
    </w:tbl>
    <w:tbl>
      <w:tblPr>
        <w:tblStyle w:val="TableSCRRotated32"/>
        <w:tblW w:w="8395" w:type="dxa"/>
        <w:tblInd w:w="740" w:type="dxa"/>
        <w:tblBorders>
          <w:top w:val="single" w:sz="12" w:space="0" w:color="auto"/>
          <w:left w:val="single" w:sz="12" w:space="0" w:color="auto"/>
          <w:bottom w:val="single" w:sz="12" w:space="0" w:color="auto"/>
          <w:right w:val="single" w:sz="12" w:space="0" w:color="auto"/>
          <w:insideV w:val="single" w:sz="6" w:space="0" w:color="auto"/>
        </w:tblBorders>
        <w:tblLook w:val="0480" w:firstRow="0" w:lastRow="0" w:firstColumn="1" w:lastColumn="0" w:noHBand="0" w:noVBand="1"/>
      </w:tblPr>
      <w:tblGrid>
        <w:gridCol w:w="750"/>
        <w:gridCol w:w="840"/>
        <w:gridCol w:w="353"/>
        <w:gridCol w:w="1073"/>
        <w:gridCol w:w="1404"/>
        <w:gridCol w:w="968"/>
        <w:gridCol w:w="824"/>
        <w:gridCol w:w="1373"/>
        <w:gridCol w:w="810"/>
      </w:tblGrid>
      <w:tr w:rsidR="005453D6" w:rsidRPr="00D62A00" w:rsidTr="005453D6">
        <w:trPr>
          <w:trHeight w:val="1019"/>
        </w:trPr>
        <w:tc>
          <w:tcPr>
            <w:cnfStyle w:val="001000000000" w:firstRow="0" w:lastRow="0" w:firstColumn="1" w:lastColumn="0" w:oddVBand="0" w:evenVBand="0" w:oddHBand="0" w:evenHBand="0" w:firstRowFirstColumn="0" w:firstRowLastColumn="0" w:lastRowFirstColumn="0" w:lastRowLastColumn="0"/>
            <w:tcW w:w="75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5453D6">
            <w:pPr>
              <w:pageBreakBefore/>
              <w:rPr>
                <w:sz w:val="22"/>
                <w:szCs w:val="22"/>
              </w:rPr>
            </w:pPr>
            <w:r w:rsidRPr="00D62A00">
              <w:rPr>
                <w:sz w:val="22"/>
                <w:szCs w:val="22"/>
              </w:rPr>
              <w:lastRenderedPageBreak/>
              <w:t>Table 401-8 (continued)</w:t>
            </w:r>
          </w:p>
          <w:p w:rsidR="005453D6" w:rsidRPr="00D62A00" w:rsidRDefault="005453D6" w:rsidP="00751AA0">
            <w:pPr>
              <w:rPr>
                <w:sz w:val="22"/>
                <w:szCs w:val="22"/>
              </w:rPr>
            </w:pPr>
            <w:r>
              <w:rPr>
                <w:sz w:val="22"/>
                <w:szCs w:val="22"/>
              </w:rPr>
              <w:t>Sampling, Testing, and A</w:t>
            </w:r>
            <w:r w:rsidRPr="00D62A00">
              <w:rPr>
                <w:sz w:val="22"/>
                <w:szCs w:val="22"/>
              </w:rPr>
              <w:t>cceptance requirements</w:t>
            </w: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Remarks</w:t>
            </w:r>
          </w:p>
        </w:tc>
        <w:tc>
          <w:tcPr>
            <w:tcW w:w="353" w:type="dxa"/>
            <w:vMerge w:val="restart"/>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b/>
                <w:sz w:val="22"/>
                <w:szCs w:val="22"/>
              </w:rPr>
              <w:t>Production (continued)</w:t>
            </w: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5453D6" w:rsidRPr="00D62A00" w:rsidTr="005453D6">
        <w:trPr>
          <w:trHeight w:val="103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Reporting Time</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24</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hours</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24</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hours</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5453D6" w:rsidRPr="00D62A00" w:rsidTr="005453D6">
        <w:trPr>
          <w:trHeight w:val="782"/>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Split Sample</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No</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No</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5453D6" w:rsidRPr="00D62A00" w:rsidTr="005453D6">
        <w:trPr>
          <w:trHeight w:val="112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Point of Sampling</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Cold feed or hot bins as applicable</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Behind</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the paver</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before</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compaction</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Stockpile</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In-place after compacting</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 xml:space="preserve">Behind </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the paver</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 xml:space="preserve">before </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compa</w:t>
            </w:r>
            <w:r>
              <w:rPr>
                <w:sz w:val="22"/>
                <w:szCs w:val="22"/>
              </w:rPr>
              <w:t>c</w:t>
            </w:r>
            <w:r w:rsidRPr="00D62A00">
              <w:rPr>
                <w:sz w:val="22"/>
                <w:szCs w:val="22"/>
              </w:rPr>
              <w:t>tion</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5453D6" w:rsidRPr="00D62A00" w:rsidTr="005453D6">
        <w:trPr>
          <w:trHeight w:val="112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Sampling Frequency</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Contractor determined</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 per</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700 tons</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(650</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metric tons) of mix</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Contractor determined</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 per</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500 feet</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(150 meters)</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 per</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700 tons</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(650</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 xml:space="preserve">metric tons) of mix </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w:t>
            </w:r>
          </w:p>
        </w:tc>
      </w:tr>
      <w:tr w:rsidR="005453D6" w:rsidRPr="00D62A00" w:rsidTr="005453D6">
        <w:trPr>
          <w:trHeight w:val="130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Test Methods Specifications</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27 &amp; T 11</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30</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255</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ASTM</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D2</w:t>
            </w:r>
            <w:r>
              <w:rPr>
                <w:sz w:val="22"/>
                <w:szCs w:val="22"/>
              </w:rPr>
              <w:t>950</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312 &amp;</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T 166</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AASHTO</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R 35</w:t>
            </w:r>
          </w:p>
        </w:tc>
      </w:tr>
      <w:tr w:rsidR="005453D6" w:rsidRPr="00D62A00" w:rsidTr="005453D6">
        <w:trPr>
          <w:trHeight w:val="872"/>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Category</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t>−</w:t>
            </w:r>
          </w:p>
        </w:tc>
      </w:tr>
      <w:tr w:rsidR="005453D6" w:rsidRPr="00D62A00" w:rsidTr="005453D6">
        <w:trPr>
          <w:trHeight w:val="139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Characteristic</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10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Gradation</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at plant</w:t>
            </w:r>
          </w:p>
        </w:tc>
        <w:tc>
          <w:tcPr>
            <w:tcW w:w="140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Gradation</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at paver</w:t>
            </w:r>
          </w:p>
        </w:tc>
        <w:tc>
          <w:tcPr>
            <w:tcW w:w="968"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 xml:space="preserve">Moisture content of aggregates </w:t>
            </w:r>
          </w:p>
        </w:tc>
        <w:tc>
          <w:tcPr>
            <w:tcW w:w="824"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Density</w:t>
            </w:r>
          </w:p>
        </w:tc>
        <w:tc>
          <w:tcPr>
            <w:tcW w:w="1373"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Air voids</w:t>
            </w:r>
          </w:p>
        </w:tc>
        <w:tc>
          <w:tcPr>
            <w:tcW w:w="810" w:type="dxa"/>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VFA</w:t>
            </w:r>
          </w:p>
        </w:tc>
      </w:tr>
      <w:tr w:rsidR="005453D6" w:rsidRPr="00D62A00" w:rsidTr="005453D6">
        <w:trPr>
          <w:trHeight w:val="121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Type of Acceptance (</w:t>
            </w:r>
            <w:r>
              <w:rPr>
                <w:b/>
                <w:sz w:val="22"/>
                <w:szCs w:val="22"/>
              </w:rPr>
              <w:t>Subsection</w:t>
            </w:r>
            <w:r w:rsidRPr="00D62A00">
              <w:rPr>
                <w:b/>
                <w:sz w:val="22"/>
                <w:szCs w:val="22"/>
              </w:rPr>
              <w:t>)</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6452" w:type="dxa"/>
            <w:gridSpan w:val="6"/>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Process</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control</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(153.03)</w:t>
            </w:r>
          </w:p>
        </w:tc>
      </w:tr>
      <w:tr w:rsidR="005453D6" w:rsidRPr="00D62A00" w:rsidTr="005453D6">
        <w:trPr>
          <w:trHeight w:val="1232"/>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453D6" w:rsidRPr="00D62A00" w:rsidRDefault="005453D6" w:rsidP="00751AA0">
            <w:pPr>
              <w:rPr>
                <w:sz w:val="22"/>
                <w:szCs w:val="22"/>
              </w:rPr>
            </w:pPr>
          </w:p>
        </w:tc>
        <w:tc>
          <w:tcPr>
            <w:tcW w:w="840" w:type="dxa"/>
            <w:textDirection w:val="btLr"/>
            <w:vAlign w:val="center"/>
            <w:hideMark/>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b/>
                <w:sz w:val="22"/>
                <w:szCs w:val="22"/>
              </w:rPr>
            </w:pPr>
            <w:r w:rsidRPr="00D62A00">
              <w:rPr>
                <w:b/>
                <w:sz w:val="22"/>
                <w:szCs w:val="22"/>
              </w:rPr>
              <w:t>Material or Product (</w:t>
            </w:r>
            <w:r>
              <w:rPr>
                <w:b/>
                <w:sz w:val="22"/>
                <w:szCs w:val="22"/>
              </w:rPr>
              <w:t>Subsection</w:t>
            </w:r>
            <w:r w:rsidRPr="00D62A00">
              <w:rPr>
                <w:b/>
                <w:sz w:val="22"/>
                <w:szCs w:val="22"/>
              </w:rPr>
              <w:t>)</w:t>
            </w:r>
          </w:p>
        </w:tc>
        <w:tc>
          <w:tcPr>
            <w:tcW w:w="353" w:type="dxa"/>
            <w:vMerge/>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p>
        </w:tc>
        <w:tc>
          <w:tcPr>
            <w:tcW w:w="6452" w:type="dxa"/>
            <w:gridSpan w:val="6"/>
            <w:textDirection w:val="btLr"/>
          </w:tcPr>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Asphalt</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concrete</w:t>
            </w:r>
          </w:p>
          <w:p w:rsidR="005453D6" w:rsidRPr="00D62A00" w:rsidRDefault="005453D6" w:rsidP="00751AA0">
            <w:pPr>
              <w:cnfStyle w:val="000000000000" w:firstRow="0" w:lastRow="0" w:firstColumn="0" w:lastColumn="0" w:oddVBand="0" w:evenVBand="0" w:oddHBand="0" w:evenHBand="0" w:firstRowFirstColumn="0" w:firstRowLastColumn="0" w:lastRowFirstColumn="0" w:lastRowLastColumn="0"/>
              <w:rPr>
                <w:sz w:val="22"/>
                <w:szCs w:val="22"/>
              </w:rPr>
            </w:pPr>
            <w:r w:rsidRPr="00D62A00">
              <w:rPr>
                <w:sz w:val="22"/>
                <w:szCs w:val="22"/>
              </w:rPr>
              <w:t>pavement</w:t>
            </w:r>
          </w:p>
        </w:tc>
      </w:tr>
    </w:tbl>
    <w:p w:rsidR="00536EFE" w:rsidRDefault="00536EFE" w:rsidP="00A83E37">
      <w:pPr>
        <w:pStyle w:val="BodyText"/>
      </w:pPr>
    </w:p>
    <w:tbl>
      <w:tblPr>
        <w:tblStyle w:val="TableSCRRotated33"/>
        <w:tblW w:w="9510" w:type="dxa"/>
        <w:tblInd w:w="-15" w:type="dxa"/>
        <w:tblBorders>
          <w:top w:val="single" w:sz="12" w:space="0" w:color="auto"/>
          <w:left w:val="single" w:sz="12" w:space="0" w:color="auto"/>
          <w:bottom w:val="single" w:sz="12" w:space="0" w:color="auto"/>
          <w:right w:val="single" w:sz="12" w:space="0" w:color="auto"/>
          <w:insideV w:val="single" w:sz="6" w:space="0" w:color="auto"/>
        </w:tblBorders>
        <w:tblLook w:val="0480" w:firstRow="0" w:lastRow="0" w:firstColumn="1" w:lastColumn="0" w:noHBand="0" w:noVBand="1"/>
      </w:tblPr>
      <w:tblGrid>
        <w:gridCol w:w="750"/>
        <w:gridCol w:w="840"/>
        <w:gridCol w:w="353"/>
        <w:gridCol w:w="1357"/>
        <w:gridCol w:w="1408"/>
        <w:gridCol w:w="1382"/>
        <w:gridCol w:w="1350"/>
        <w:gridCol w:w="900"/>
        <w:gridCol w:w="1170"/>
      </w:tblGrid>
      <w:tr w:rsidR="005F3A88" w:rsidRPr="005F3A88" w:rsidTr="005F3A88">
        <w:trPr>
          <w:trHeight w:val="1109"/>
        </w:trPr>
        <w:tc>
          <w:tcPr>
            <w:cnfStyle w:val="001000000000" w:firstRow="0" w:lastRow="0" w:firstColumn="1" w:lastColumn="0" w:oddVBand="0" w:evenVBand="0" w:oddHBand="0" w:evenHBand="0" w:firstRowFirstColumn="0" w:firstRowLastColumn="0" w:lastRowFirstColumn="0" w:lastRowLastColumn="0"/>
            <w:tcW w:w="75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pageBreakBefore/>
              <w:ind w:left="360"/>
              <w:rPr>
                <w:sz w:val="22"/>
                <w:szCs w:val="22"/>
              </w:rPr>
            </w:pPr>
            <w:r w:rsidRPr="005F3A88">
              <w:lastRenderedPageBreak/>
              <w:t>(</w:t>
            </w:r>
            <w:r w:rsidRPr="005F3A88">
              <w:br w:type="page"/>
            </w:r>
            <w:r w:rsidRPr="005F3A88">
              <w:rPr>
                <w:sz w:val="22"/>
                <w:szCs w:val="22"/>
              </w:rPr>
              <w:t>Table 401-8 (continued)</w:t>
            </w:r>
          </w:p>
          <w:p w:rsidR="005F3A88" w:rsidRPr="005F3A88" w:rsidRDefault="005F3A88" w:rsidP="005F3A88">
            <w:pPr>
              <w:ind w:left="720"/>
              <w:contextualSpacing/>
              <w:rPr>
                <w:sz w:val="22"/>
                <w:szCs w:val="22"/>
              </w:rPr>
            </w:pPr>
            <w:r w:rsidRPr="005F3A88">
              <w:rPr>
                <w:sz w:val="22"/>
                <w:szCs w:val="22"/>
              </w:rPr>
              <w:t>Sampling, Testing, and Acceptance requirements</w:t>
            </w: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Remarks</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 xml:space="preserve">Original surface before construction </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Original surface before construction</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r>
      <w:tr w:rsidR="005F3A88" w:rsidRPr="005F3A88" w:rsidTr="00751AA0">
        <w:trPr>
          <w:trHeight w:val="1008"/>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Reporting Time</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Within 14 days of Notice to Proceed</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Within 21 days after completing paving</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Within 14 days of Notice to Proceed</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 xml:space="preserve">Within 21 days after completing paving </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24</w:t>
            </w:r>
          </w:p>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hours</w:t>
            </w:r>
          </w:p>
        </w:tc>
      </w:tr>
      <w:tr w:rsidR="005F3A88" w:rsidRPr="005F3A88" w:rsidTr="005F3A88">
        <w:trPr>
          <w:trHeight w:val="800"/>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Split Sample</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No</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r>
      <w:tr w:rsidR="005F3A88" w:rsidRPr="005F3A88" w:rsidTr="005F3A88">
        <w:trPr>
          <w:trHeight w:val="103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Point of Sampling</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Left and right wheel paths</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 xml:space="preserve">See </w:t>
            </w:r>
          </w:p>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Subsection 401.16(e)</w:t>
            </w:r>
          </w:p>
        </w:tc>
      </w:tr>
      <w:tr w:rsidR="005F3A88" w:rsidRPr="005F3A88" w:rsidTr="005F3A88">
        <w:trPr>
          <w:trHeight w:val="1052"/>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Sampling Frequency</w:t>
            </w:r>
          </w:p>
        </w:tc>
        <w:tc>
          <w:tcPr>
            <w:tcW w:w="353" w:type="dxa"/>
            <w:vMerge w:val="restart"/>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Finished Product</w:t>
            </w: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 xml:space="preserve">See </w:t>
            </w:r>
          </w:p>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Subsection 401.16</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Contractor determined</w:t>
            </w:r>
          </w:p>
        </w:tc>
      </w:tr>
      <w:tr w:rsidR="005F3A88" w:rsidRPr="005F3A88" w:rsidTr="005F3A88">
        <w:trPr>
          <w:trHeight w:val="1304"/>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Test Methods Specifications</w:t>
            </w:r>
          </w:p>
        </w:tc>
        <w:tc>
          <w:tcPr>
            <w:tcW w:w="353" w:type="dxa"/>
            <w:vMerge/>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AASHTO</w:t>
            </w:r>
          </w:p>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R 56 &amp; R 57</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t>Straightedge measurements Subsection 401.16(e)</w:t>
            </w:r>
          </w:p>
        </w:tc>
      </w:tr>
      <w:tr w:rsidR="005F3A88" w:rsidRPr="005F3A88" w:rsidTr="00751AA0">
        <w:trPr>
          <w:trHeight w:val="872"/>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Category</w:t>
            </w:r>
          </w:p>
        </w:tc>
        <w:tc>
          <w:tcPr>
            <w:tcW w:w="353" w:type="dxa"/>
            <w:vMerge/>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rFonts w:eastAsia="MS Mincho"/>
              </w:rPr>
              <w:t>−</w:t>
            </w:r>
          </w:p>
        </w:tc>
      </w:tr>
      <w:tr w:rsidR="005F3A88" w:rsidRPr="005F3A88" w:rsidTr="00751AA0">
        <w:trPr>
          <w:trHeight w:val="1368"/>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Characteristic</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7"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Type 1 roughness, before construction (Initial MRI)</w:t>
            </w:r>
          </w:p>
        </w:tc>
        <w:tc>
          <w:tcPr>
            <w:tcW w:w="1408"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 xml:space="preserve">Type 1 roughness, after construction (Final MRI) </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Type II roughness, before construction (Initial MRI)</w:t>
            </w: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Type II roughness, after construction (Final MRI)</w:t>
            </w: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Type III roughness, (Final MRI)</w:t>
            </w: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Surface tolerance</w:t>
            </w:r>
          </w:p>
        </w:tc>
      </w:tr>
      <w:tr w:rsidR="005F3A88" w:rsidRPr="005F3A88" w:rsidTr="00751AA0">
        <w:trPr>
          <w:trHeight w:val="1263"/>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Type of Acceptance (Subsection)</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2765" w:type="dxa"/>
            <w:gridSpan w:val="2"/>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Measured and tested for conformance (106.04)</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Process control (153.03)</w:t>
            </w:r>
          </w:p>
        </w:tc>
      </w:tr>
      <w:tr w:rsidR="005F3A88" w:rsidRPr="005F3A88" w:rsidTr="005F3A88">
        <w:trPr>
          <w:trHeight w:val="1277"/>
        </w:trPr>
        <w:tc>
          <w:tcPr>
            <w:cnfStyle w:val="001000000000" w:firstRow="0" w:lastRow="0" w:firstColumn="1" w:lastColumn="0" w:oddVBand="0" w:evenVBand="0" w:oddHBand="0" w:evenHBand="0" w:firstRowFirstColumn="0" w:firstRowLastColumn="0" w:lastRowFirstColumn="0" w:lastRowLastColumn="0"/>
            <w:tcW w:w="75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extDirection w:val="btLr"/>
          </w:tcPr>
          <w:p w:rsidR="005F3A88" w:rsidRPr="005F3A88" w:rsidRDefault="005F3A88" w:rsidP="005F3A88">
            <w:pPr>
              <w:rPr>
                <w:sz w:val="22"/>
                <w:szCs w:val="22"/>
              </w:rPr>
            </w:pPr>
          </w:p>
        </w:tc>
        <w:tc>
          <w:tcPr>
            <w:tcW w:w="840" w:type="dxa"/>
            <w:textDirection w:val="btLr"/>
            <w:vAlign w:val="center"/>
            <w:hideMark/>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b/>
                <w:sz w:val="22"/>
                <w:szCs w:val="22"/>
              </w:rPr>
            </w:pPr>
            <w:r w:rsidRPr="005F3A88">
              <w:rPr>
                <w:b/>
                <w:sz w:val="22"/>
                <w:szCs w:val="22"/>
              </w:rPr>
              <w:t>Material or Product (Subsection)</w:t>
            </w:r>
          </w:p>
        </w:tc>
        <w:tc>
          <w:tcPr>
            <w:tcW w:w="353"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2765" w:type="dxa"/>
            <w:gridSpan w:val="2"/>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r w:rsidRPr="005F3A88">
              <w:rPr>
                <w:sz w:val="22"/>
                <w:szCs w:val="22"/>
              </w:rPr>
              <w:t>Asphalt concrete pavement</w:t>
            </w:r>
          </w:p>
        </w:tc>
        <w:tc>
          <w:tcPr>
            <w:tcW w:w="1382"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35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90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extDirection w:val="btLr"/>
          </w:tcPr>
          <w:p w:rsidR="005F3A88" w:rsidRPr="005F3A88" w:rsidRDefault="005F3A88" w:rsidP="005F3A88">
            <w:pPr>
              <w:cnfStyle w:val="000000000000" w:firstRow="0" w:lastRow="0" w:firstColumn="0" w:lastColumn="0" w:oddVBand="0" w:evenVBand="0" w:oddHBand="0" w:evenHBand="0" w:firstRowFirstColumn="0" w:firstRowLastColumn="0" w:lastRowFirstColumn="0" w:lastRowLastColumn="0"/>
              <w:rPr>
                <w:sz w:val="22"/>
                <w:szCs w:val="22"/>
              </w:rPr>
            </w:pPr>
          </w:p>
        </w:tc>
      </w:tr>
    </w:tbl>
    <w:p w:rsidR="00536EFE" w:rsidRDefault="00536EFE" w:rsidP="00A83E37">
      <w:pPr>
        <w:pStyle w:val="BodyText"/>
      </w:pPr>
    </w:p>
    <w:p w:rsidR="003B1376" w:rsidRDefault="00342553" w:rsidP="00A83E37">
      <w:pPr>
        <w:pStyle w:val="BodyText"/>
      </w:pPr>
      <w:r w:rsidRPr="00342553">
        <w:rPr>
          <w:noProof/>
        </w:rPr>
        <w:lastRenderedPageBreak/>
        <mc:AlternateContent>
          <mc:Choice Requires="wps">
            <w:drawing>
              <wp:anchor distT="0" distB="0" distL="114300" distR="114300" simplePos="0" relativeHeight="251659264" behindDoc="0" locked="0" layoutInCell="1" allowOverlap="1" wp14:anchorId="0A59B892" wp14:editId="2F0A7894">
                <wp:simplePos x="0" y="0"/>
                <wp:positionH relativeFrom="margin">
                  <wp:posOffset>-1763713</wp:posOffset>
                </wp:positionH>
                <wp:positionV relativeFrom="margin">
                  <wp:posOffset>1662748</wp:posOffset>
                </wp:positionV>
                <wp:extent cx="7920355" cy="3929380"/>
                <wp:effectExtent l="0" t="4762" r="0" b="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20355" cy="3929380"/>
                        </a:xfrm>
                        <a:prstGeom prst="rect">
                          <a:avLst/>
                        </a:prstGeom>
                        <a:solidFill>
                          <a:srgbClr val="FFFFFF"/>
                        </a:solidFill>
                        <a:ln w="9525">
                          <a:noFill/>
                          <a:miter lim="800000"/>
                          <a:headEnd/>
                          <a:tailEnd/>
                        </a:ln>
                      </wps:spPr>
                      <wps:txbx>
                        <w:txbxContent>
                          <w:tbl>
                            <w:tblPr>
                              <w:tblW w:w="12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29" w:type="dxa"/>
                                <w:bottom w:w="29" w:type="dxa"/>
                                <w:right w:w="29" w:type="dxa"/>
                              </w:tblCellMar>
                              <w:tblLook w:val="0000" w:firstRow="0" w:lastRow="0" w:firstColumn="0" w:lastColumn="0" w:noHBand="0" w:noVBand="0"/>
                            </w:tblPr>
                            <w:tblGrid>
                              <w:gridCol w:w="12060"/>
                            </w:tblGrid>
                            <w:tr w:rsidR="00770C8D" w:rsidRPr="003A33E2" w:rsidTr="00751AA0">
                              <w:trPr>
                                <w:cantSplit/>
                                <w:trHeight w:val="581"/>
                                <w:jc w:val="center"/>
                              </w:trPr>
                              <w:tc>
                                <w:tcPr>
                                  <w:tcW w:w="12060" w:type="dxa"/>
                                  <w:shd w:val="clear" w:color="auto" w:fill="F2F2F2" w:themeFill="background1" w:themeFillShade="F2"/>
                                </w:tcPr>
                                <w:p w:rsidR="00770C8D" w:rsidRPr="003A33E2" w:rsidRDefault="00770C8D" w:rsidP="00342553">
                                  <w:pPr>
                                    <w:pageBreakBefore/>
                                    <w:jc w:val="center"/>
                                    <w:rPr>
                                      <w:b/>
                                      <w:bCs/>
                                    </w:rPr>
                                  </w:pPr>
                                  <w:r w:rsidRPr="003A33E2">
                                    <w:rPr>
                                      <w:b/>
                                      <w:bCs/>
                                    </w:rPr>
                                    <w:t>Table 401-8 (continued)</w:t>
                                  </w:r>
                                </w:p>
                                <w:p w:rsidR="00770C8D" w:rsidRPr="003A33E2" w:rsidRDefault="00770C8D" w:rsidP="00751AA0">
                                  <w:pPr>
                                    <w:jc w:val="center"/>
                                    <w:rPr>
                                      <w:rFonts w:eastAsia="MS Mincho"/>
                                      <w:color w:val="000000"/>
                                    </w:rPr>
                                  </w:pPr>
                                  <w:r w:rsidRPr="003A33E2">
                                    <w:rPr>
                                      <w:b/>
                                      <w:bCs/>
                                    </w:rPr>
                                    <w:t>Sampling, Testing, and Acceptance Requirements</w:t>
                                  </w:r>
                                </w:p>
                              </w:tc>
                            </w:tr>
                            <w:tr w:rsidR="00770C8D" w:rsidRPr="003A33E2" w:rsidTr="00751AA0">
                              <w:trPr>
                                <w:cantSplit/>
                                <w:trHeight w:val="840"/>
                                <w:jc w:val="center"/>
                              </w:trPr>
                              <w:tc>
                                <w:tcPr>
                                  <w:tcW w:w="12060" w:type="dxa"/>
                                  <w:shd w:val="clear" w:color="auto" w:fill="auto"/>
                                </w:tcPr>
                                <w:p w:rsidR="00770C8D" w:rsidRDefault="00770C8D" w:rsidP="00751AA0">
                                  <w:pPr>
                                    <w:spacing w:after="40"/>
                                    <w:jc w:val="both"/>
                                    <w:rPr>
                                      <w:rFonts w:eastAsia="MS Mincho"/>
                                      <w:color w:val="000000"/>
                                    </w:rPr>
                                  </w:pPr>
                                  <w:r w:rsidRPr="003A33E2">
                                    <w:rPr>
                                      <w:rFonts w:eastAsia="MS Mincho"/>
                                      <w:color w:val="000000"/>
                                    </w:rPr>
                                    <w:t>(1) Use AASHTO T 308, Method A. Calculate the asphalt binder content by weighing the sample before and after the burn using a calibrated external balance</w:t>
                                  </w:r>
                                  <w:r w:rsidRPr="00BB2AF6">
                                    <w:rPr>
                                      <w:rFonts w:eastAsia="MS Mincho"/>
                                      <w:color w:val="000000"/>
                                    </w:rPr>
                                    <w:t>.</w:t>
                                  </w:r>
                                </w:p>
                                <w:p w:rsidR="00770C8D" w:rsidRPr="003A33E2" w:rsidRDefault="00770C8D" w:rsidP="00751AA0">
                                  <w:pPr>
                                    <w:spacing w:after="40"/>
                                    <w:jc w:val="both"/>
                                    <w:rPr>
                                      <w:color w:val="000000"/>
                                    </w:rPr>
                                  </w:pPr>
                                  <w:r w:rsidRPr="00BB2AF6">
                                    <w:t>(2)</w:t>
                                  </w:r>
                                  <w:r w:rsidRPr="00C13969">
                                    <w:t xml:space="preserve">  Cut 6-inch (150-millimeter) diameter cores from the compacted pavement. Remove them with a core retriever and fill and compact the core holes with asphalt concrete mixture. Label the cores and protect them from damage due to handling and temperature. Dry the core to constant mass at 125±5 °F (52±3 °C) or vacuum dry it according to ASTM D7227 before performing the core density and measuring the thickness. Use 62.245 pounds per cubic foot (997.1 kilograms per cubic meter) to convert specific gravity to density. Submit cores to the CO after testing is completed.</w:t>
                                  </w:r>
                                </w:p>
                                <w:p w:rsidR="00770C8D" w:rsidRPr="003A33E2" w:rsidRDefault="00770C8D" w:rsidP="00751AA0">
                                  <w:pPr>
                                    <w:spacing w:after="40"/>
                                    <w:jc w:val="both"/>
                                    <w:rPr>
                                      <w:color w:val="000000"/>
                                    </w:rPr>
                                  </w:pPr>
                                  <w:r w:rsidRPr="003A33E2">
                                    <w:rPr>
                                      <w:rFonts w:eastAsia="MS Mincho"/>
                                      <w:color w:val="000000"/>
                                    </w:rPr>
                                    <w:t>(3) After production paving has begun, use the average maximum specific gravity value (AASHTO T 209) for each day to adjust the percent compaction for the cores that represent that day’s paving.</w:t>
                                  </w:r>
                                </w:p>
                                <w:p w:rsidR="00770C8D" w:rsidRDefault="00770C8D" w:rsidP="00751AA0">
                                  <w:pPr>
                                    <w:spacing w:after="40"/>
                                    <w:jc w:val="both"/>
                                    <w:rPr>
                                      <w:rFonts w:eastAsia="MS Mincho"/>
                                      <w:color w:val="000000"/>
                                    </w:rPr>
                                  </w:pPr>
                                  <w:r w:rsidRPr="003A33E2">
                                    <w:rPr>
                                      <w:rFonts w:eastAsia="MS Mincho"/>
                                      <w:color w:val="000000"/>
                                    </w:rPr>
                                    <w:t>(4) Do not use the supplemental procedure for mixtures containing porous aggregate (dry back method of AASHTO T 209).</w:t>
                                  </w:r>
                                </w:p>
                                <w:p w:rsidR="00770C8D" w:rsidRPr="00B00716" w:rsidRDefault="00770C8D" w:rsidP="00751AA0">
                                  <w:pPr>
                                    <w:spacing w:after="40"/>
                                  </w:pPr>
                                  <w:r>
                                    <w:t xml:space="preserve">(5) </w:t>
                                  </w:r>
                                  <w:r w:rsidRPr="00B00716">
                                    <w:t>Furnish a minimum of five reports, but not less than one report per rock type for each source.  Reports must be dated within 1 year of intended use. Obtain samples representative of aggregates being furnished.  Include rock type and sample location on test reports.</w:t>
                                  </w:r>
                                </w:p>
                                <w:p w:rsidR="00770C8D" w:rsidRPr="003A33E2" w:rsidRDefault="00770C8D" w:rsidP="00751AA0">
                                  <w:pPr>
                                    <w:spacing w:after="40"/>
                                    <w:jc w:val="both"/>
                                  </w:pPr>
                                </w:p>
                              </w:tc>
                            </w:tr>
                          </w:tbl>
                          <w:p w:rsidR="00770C8D" w:rsidRDefault="00770C8D" w:rsidP="00342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9B892" id="_x0000_t202" coordsize="21600,21600" o:spt="202" path="m,l,21600r21600,l21600,xe">
                <v:stroke joinstyle="miter"/>
                <v:path gradientshapeok="t" o:connecttype="rect"/>
              </v:shapetype>
              <v:shape id="Text Box 2" o:spid="_x0000_s1026" type="#_x0000_t202" style="position:absolute;left:0;text-align:left;margin-left:-138.9pt;margin-top:130.95pt;width:623.65pt;height:309.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" stroked="f">
                <v:textbox>
                  <w:txbxContent>
                    <w:tbl>
                      <w:tblPr>
                        <w:tblW w:w="12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29" w:type="dxa"/>
                          <w:bottom w:w="29" w:type="dxa"/>
                          <w:right w:w="29" w:type="dxa"/>
                        </w:tblCellMar>
                        <w:tblLook w:val="0000" w:firstRow="0" w:lastRow="0" w:firstColumn="0" w:lastColumn="0" w:noHBand="0" w:noVBand="0"/>
                      </w:tblPr>
                      <w:tblGrid>
                        <w:gridCol w:w="12060"/>
                      </w:tblGrid>
                      <w:tr w:rsidR="00770C8D" w:rsidRPr="003A33E2" w:rsidTr="00751AA0">
                        <w:trPr>
                          <w:cantSplit/>
                          <w:trHeight w:val="581"/>
                          <w:jc w:val="center"/>
                        </w:trPr>
                        <w:tc>
                          <w:tcPr>
                            <w:tcW w:w="12060" w:type="dxa"/>
                            <w:shd w:val="clear" w:color="auto" w:fill="F2F2F2" w:themeFill="background1" w:themeFillShade="F2"/>
                          </w:tcPr>
                          <w:p w:rsidR="00770C8D" w:rsidRPr="003A33E2" w:rsidRDefault="00770C8D" w:rsidP="00342553">
                            <w:pPr>
                              <w:pageBreakBefore/>
                              <w:jc w:val="center"/>
                              <w:rPr>
                                <w:b/>
                                <w:bCs/>
                              </w:rPr>
                            </w:pPr>
                            <w:r w:rsidRPr="003A33E2">
                              <w:rPr>
                                <w:b/>
                                <w:bCs/>
                              </w:rPr>
                              <w:t>Table 401-8 (continued)</w:t>
                            </w:r>
                          </w:p>
                          <w:p w:rsidR="00770C8D" w:rsidRPr="003A33E2" w:rsidRDefault="00770C8D" w:rsidP="00751AA0">
                            <w:pPr>
                              <w:jc w:val="center"/>
                              <w:rPr>
                                <w:rFonts w:eastAsia="MS Mincho"/>
                                <w:color w:val="000000"/>
                              </w:rPr>
                            </w:pPr>
                            <w:r w:rsidRPr="003A33E2">
                              <w:rPr>
                                <w:b/>
                                <w:bCs/>
                              </w:rPr>
                              <w:t>Sampling, Testing, and Acceptance Requirements</w:t>
                            </w:r>
                          </w:p>
                        </w:tc>
                      </w:tr>
                      <w:tr w:rsidR="00770C8D" w:rsidRPr="003A33E2" w:rsidTr="00751AA0">
                        <w:trPr>
                          <w:cantSplit/>
                          <w:trHeight w:val="840"/>
                          <w:jc w:val="center"/>
                        </w:trPr>
                        <w:tc>
                          <w:tcPr>
                            <w:tcW w:w="12060" w:type="dxa"/>
                            <w:shd w:val="clear" w:color="auto" w:fill="auto"/>
                          </w:tcPr>
                          <w:p w:rsidR="00770C8D" w:rsidRDefault="00770C8D" w:rsidP="00751AA0">
                            <w:pPr>
                              <w:spacing w:after="40"/>
                              <w:jc w:val="both"/>
                              <w:rPr>
                                <w:rFonts w:eastAsia="MS Mincho"/>
                                <w:color w:val="000000"/>
                              </w:rPr>
                            </w:pPr>
                            <w:r w:rsidRPr="003A33E2">
                              <w:rPr>
                                <w:rFonts w:eastAsia="MS Mincho"/>
                                <w:color w:val="000000"/>
                              </w:rPr>
                              <w:t>(1) Use AASHTO T 308, Method A. Calculate the asphalt binder content by weighing the sample before and after the burn using a calibrated external balance</w:t>
                            </w:r>
                            <w:r w:rsidRPr="00BB2AF6">
                              <w:rPr>
                                <w:rFonts w:eastAsia="MS Mincho"/>
                                <w:color w:val="000000"/>
                              </w:rPr>
                              <w:t>.</w:t>
                            </w:r>
                          </w:p>
                          <w:p w:rsidR="00770C8D" w:rsidRPr="003A33E2" w:rsidRDefault="00770C8D" w:rsidP="00751AA0">
                            <w:pPr>
                              <w:spacing w:after="40"/>
                              <w:jc w:val="both"/>
                              <w:rPr>
                                <w:color w:val="000000"/>
                              </w:rPr>
                            </w:pPr>
                            <w:r w:rsidRPr="00BB2AF6">
                              <w:t>(2)</w:t>
                            </w:r>
                            <w:r w:rsidRPr="00C13969">
                              <w:t xml:space="preserve">  Cut 6-inch (150-millimeter) diameter cores from the compacted pavement. Remove them with a core retriever and fill and compact the core holes with asphalt concrete mixture. Label the cores and protect them from damage due to handling and temperature. Dry the core to constant mass at 125±5 °F (52±3 °C) or vacuum dry it according to ASTM D7227 before performing the core density and measuring the thickness. Use 62.245 pounds per cubic foot (997.1 kilograms per cubic meter) to convert specific gravity to density. Submit cores to the CO after testing is completed.</w:t>
                            </w:r>
                          </w:p>
                          <w:p w:rsidR="00770C8D" w:rsidRPr="003A33E2" w:rsidRDefault="00770C8D" w:rsidP="00751AA0">
                            <w:pPr>
                              <w:spacing w:after="40"/>
                              <w:jc w:val="both"/>
                              <w:rPr>
                                <w:color w:val="000000"/>
                              </w:rPr>
                            </w:pPr>
                            <w:r w:rsidRPr="003A33E2">
                              <w:rPr>
                                <w:rFonts w:eastAsia="MS Mincho"/>
                                <w:color w:val="000000"/>
                              </w:rPr>
                              <w:t>(3) After production paving has begun, use the average maximum specific gravity value (AASHTO T 209) for each day to adjust the percent compaction for the cores that represent that day’s paving.</w:t>
                            </w:r>
                          </w:p>
                          <w:p w:rsidR="00770C8D" w:rsidRDefault="00770C8D" w:rsidP="00751AA0">
                            <w:pPr>
                              <w:spacing w:after="40"/>
                              <w:jc w:val="both"/>
                              <w:rPr>
                                <w:rFonts w:eastAsia="MS Mincho"/>
                                <w:color w:val="000000"/>
                              </w:rPr>
                            </w:pPr>
                            <w:r w:rsidRPr="003A33E2">
                              <w:rPr>
                                <w:rFonts w:eastAsia="MS Mincho"/>
                                <w:color w:val="000000"/>
                              </w:rPr>
                              <w:t>(4) Do not use the supplemental procedure for mixtures containing porous aggregate (dry back method of AASHTO T 209).</w:t>
                            </w:r>
                          </w:p>
                          <w:p w:rsidR="00770C8D" w:rsidRPr="00B00716" w:rsidRDefault="00770C8D" w:rsidP="00751AA0">
                            <w:pPr>
                              <w:spacing w:after="40"/>
                            </w:pPr>
                            <w:r>
                              <w:t xml:space="preserve">(5) </w:t>
                            </w:r>
                            <w:r w:rsidRPr="00B00716">
                              <w:t>Furnish a minimum of five reports, but not less than one report per rock type for each source.  Reports must be dated within 1 year of intended use. Obtain samples representative of aggregates being furnished.  Include rock type and sample location on test reports.</w:t>
                            </w:r>
                          </w:p>
                          <w:p w:rsidR="00770C8D" w:rsidRPr="003A33E2" w:rsidRDefault="00770C8D" w:rsidP="00751AA0">
                            <w:pPr>
                              <w:spacing w:after="40"/>
                              <w:jc w:val="both"/>
                            </w:pPr>
                          </w:p>
                        </w:tc>
                      </w:tr>
                    </w:tbl>
                    <w:p w:rsidR="00770C8D" w:rsidRDefault="00770C8D" w:rsidP="00342553"/>
                  </w:txbxContent>
                </v:textbox>
                <w10:wrap type="square" anchorx="margin" anchory="margin"/>
              </v:shape>
            </w:pict>
          </mc:Fallback>
        </mc:AlternateContent>
      </w:r>
    </w:p>
    <w:p w:rsidR="00E312AB" w:rsidRDefault="00E312AB" w:rsidP="00A83E37">
      <w:pPr>
        <w:pStyle w:val="BodyText"/>
      </w:pPr>
      <w:bookmarkStart w:id="3" w:name="Division500"/>
      <w:bookmarkEnd w:id="1"/>
      <w:bookmarkEnd w:id="3"/>
    </w:p>
    <w:sectPr w:rsidR="00E312AB" w:rsidSect="0045371F">
      <w:headerReference w:type="default" r:id="rId8"/>
      <w:footerReference w:type="default" r:id="rId9"/>
      <w:headerReference w:type="first" r:id="rId10"/>
      <w:footerReference w:type="first" r:id="rId11"/>
      <w:pgSz w:w="12240" w:h="15840"/>
      <w:pgMar w:top="720" w:right="1440" w:bottom="720" w:left="1440" w:header="720" w:footer="720" w:gutter="0"/>
      <w:pgNumType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33" w:rsidRDefault="00B34033" w:rsidP="001A6D08">
      <w:r>
        <w:separator/>
      </w:r>
    </w:p>
  </w:endnote>
  <w:endnote w:type="continuationSeparator" w:id="0">
    <w:p w:rsidR="00B34033" w:rsidRDefault="00B34033"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8D" w:rsidRDefault="00770C8D" w:rsidP="0056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8D" w:rsidRDefault="0077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33" w:rsidRDefault="00B34033" w:rsidP="001A6D08">
      <w:r>
        <w:separator/>
      </w:r>
    </w:p>
  </w:footnote>
  <w:footnote w:type="continuationSeparator" w:id="0">
    <w:p w:rsidR="00B34033" w:rsidRDefault="00B34033"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8D" w:rsidRPr="009D0881" w:rsidRDefault="00770C8D" w:rsidP="00085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8D" w:rsidRDefault="00770C8D" w:rsidP="0008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729A"/>
    <w:rsid w:val="00007D1E"/>
    <w:rsid w:val="00015C4F"/>
    <w:rsid w:val="00027A97"/>
    <w:rsid w:val="00032B29"/>
    <w:rsid w:val="000457B3"/>
    <w:rsid w:val="0005488B"/>
    <w:rsid w:val="000611B0"/>
    <w:rsid w:val="00061B9B"/>
    <w:rsid w:val="0006675B"/>
    <w:rsid w:val="00080280"/>
    <w:rsid w:val="00085B1C"/>
    <w:rsid w:val="000A5F8B"/>
    <w:rsid w:val="000A6963"/>
    <w:rsid w:val="000B771C"/>
    <w:rsid w:val="000F04F7"/>
    <w:rsid w:val="000F3F9C"/>
    <w:rsid w:val="001001F3"/>
    <w:rsid w:val="0011419E"/>
    <w:rsid w:val="00170FB8"/>
    <w:rsid w:val="0018169D"/>
    <w:rsid w:val="00192CD1"/>
    <w:rsid w:val="001A6D08"/>
    <w:rsid w:val="001F437B"/>
    <w:rsid w:val="00202C7B"/>
    <w:rsid w:val="00217E82"/>
    <w:rsid w:val="0024538E"/>
    <w:rsid w:val="002757C5"/>
    <w:rsid w:val="002800F5"/>
    <w:rsid w:val="002A42F4"/>
    <w:rsid w:val="00307860"/>
    <w:rsid w:val="003208F4"/>
    <w:rsid w:val="00322065"/>
    <w:rsid w:val="00334686"/>
    <w:rsid w:val="0033507C"/>
    <w:rsid w:val="00340F19"/>
    <w:rsid w:val="00342553"/>
    <w:rsid w:val="00343E71"/>
    <w:rsid w:val="003463A3"/>
    <w:rsid w:val="003633D5"/>
    <w:rsid w:val="00364E7E"/>
    <w:rsid w:val="003964C5"/>
    <w:rsid w:val="003B1376"/>
    <w:rsid w:val="003C77E7"/>
    <w:rsid w:val="003D2325"/>
    <w:rsid w:val="003D6104"/>
    <w:rsid w:val="003E2F04"/>
    <w:rsid w:val="003E7FF6"/>
    <w:rsid w:val="00434231"/>
    <w:rsid w:val="00436D09"/>
    <w:rsid w:val="004431AE"/>
    <w:rsid w:val="0045371F"/>
    <w:rsid w:val="004547DC"/>
    <w:rsid w:val="00481098"/>
    <w:rsid w:val="00482CBF"/>
    <w:rsid w:val="0049095F"/>
    <w:rsid w:val="00491859"/>
    <w:rsid w:val="004D093B"/>
    <w:rsid w:val="004D2DEA"/>
    <w:rsid w:val="004E0012"/>
    <w:rsid w:val="004F331E"/>
    <w:rsid w:val="00504BB1"/>
    <w:rsid w:val="00506F5A"/>
    <w:rsid w:val="00524273"/>
    <w:rsid w:val="00536499"/>
    <w:rsid w:val="00536EFE"/>
    <w:rsid w:val="005438D4"/>
    <w:rsid w:val="005453D6"/>
    <w:rsid w:val="005457B5"/>
    <w:rsid w:val="005561AC"/>
    <w:rsid w:val="005611EA"/>
    <w:rsid w:val="00570369"/>
    <w:rsid w:val="005733A6"/>
    <w:rsid w:val="00597D6F"/>
    <w:rsid w:val="005C58A6"/>
    <w:rsid w:val="005D7DD8"/>
    <w:rsid w:val="005E313F"/>
    <w:rsid w:val="005F3A88"/>
    <w:rsid w:val="006175D2"/>
    <w:rsid w:val="00623270"/>
    <w:rsid w:val="0063455A"/>
    <w:rsid w:val="006406AC"/>
    <w:rsid w:val="00651F6F"/>
    <w:rsid w:val="00662E17"/>
    <w:rsid w:val="00686F1B"/>
    <w:rsid w:val="00693AB6"/>
    <w:rsid w:val="006D1866"/>
    <w:rsid w:val="006D2E36"/>
    <w:rsid w:val="00706A61"/>
    <w:rsid w:val="00724C7E"/>
    <w:rsid w:val="00731A2D"/>
    <w:rsid w:val="007515AF"/>
    <w:rsid w:val="00751AA0"/>
    <w:rsid w:val="0076372D"/>
    <w:rsid w:val="00770C8D"/>
    <w:rsid w:val="007A528C"/>
    <w:rsid w:val="007B52BA"/>
    <w:rsid w:val="007C5843"/>
    <w:rsid w:val="007D2D38"/>
    <w:rsid w:val="007E51EE"/>
    <w:rsid w:val="007E62C2"/>
    <w:rsid w:val="0081676A"/>
    <w:rsid w:val="0082064B"/>
    <w:rsid w:val="008225E4"/>
    <w:rsid w:val="008273E3"/>
    <w:rsid w:val="00877DF1"/>
    <w:rsid w:val="008820D5"/>
    <w:rsid w:val="008948EA"/>
    <w:rsid w:val="008A196E"/>
    <w:rsid w:val="008B0FC5"/>
    <w:rsid w:val="008C4ACC"/>
    <w:rsid w:val="008C6270"/>
    <w:rsid w:val="00912762"/>
    <w:rsid w:val="00916FF9"/>
    <w:rsid w:val="00946505"/>
    <w:rsid w:val="00947F82"/>
    <w:rsid w:val="00955C7E"/>
    <w:rsid w:val="00961F2B"/>
    <w:rsid w:val="0098079B"/>
    <w:rsid w:val="0099255C"/>
    <w:rsid w:val="0099365D"/>
    <w:rsid w:val="009B0D01"/>
    <w:rsid w:val="009B42C0"/>
    <w:rsid w:val="009E4E15"/>
    <w:rsid w:val="00A01856"/>
    <w:rsid w:val="00A21C8D"/>
    <w:rsid w:val="00A50FEA"/>
    <w:rsid w:val="00A54203"/>
    <w:rsid w:val="00A54364"/>
    <w:rsid w:val="00A54AD7"/>
    <w:rsid w:val="00A83DED"/>
    <w:rsid w:val="00A83E37"/>
    <w:rsid w:val="00A91477"/>
    <w:rsid w:val="00A942D9"/>
    <w:rsid w:val="00AC5626"/>
    <w:rsid w:val="00AC58B2"/>
    <w:rsid w:val="00AE0D77"/>
    <w:rsid w:val="00AE2AB2"/>
    <w:rsid w:val="00B006D6"/>
    <w:rsid w:val="00B11A06"/>
    <w:rsid w:val="00B26BDB"/>
    <w:rsid w:val="00B339A8"/>
    <w:rsid w:val="00B34033"/>
    <w:rsid w:val="00B761B4"/>
    <w:rsid w:val="00BA02CE"/>
    <w:rsid w:val="00BA2596"/>
    <w:rsid w:val="00BB4D4C"/>
    <w:rsid w:val="00BF64BA"/>
    <w:rsid w:val="00C00AB3"/>
    <w:rsid w:val="00C171C7"/>
    <w:rsid w:val="00C24042"/>
    <w:rsid w:val="00C2408C"/>
    <w:rsid w:val="00C54E5F"/>
    <w:rsid w:val="00C668C9"/>
    <w:rsid w:val="00C726AE"/>
    <w:rsid w:val="00C736CD"/>
    <w:rsid w:val="00C742CB"/>
    <w:rsid w:val="00C7677B"/>
    <w:rsid w:val="00C77916"/>
    <w:rsid w:val="00CD6F29"/>
    <w:rsid w:val="00D04829"/>
    <w:rsid w:val="00D26DCE"/>
    <w:rsid w:val="00D405AF"/>
    <w:rsid w:val="00D4154F"/>
    <w:rsid w:val="00D42631"/>
    <w:rsid w:val="00D6374F"/>
    <w:rsid w:val="00D80DFD"/>
    <w:rsid w:val="00DA0DBF"/>
    <w:rsid w:val="00DB527D"/>
    <w:rsid w:val="00DD0093"/>
    <w:rsid w:val="00DD1A5C"/>
    <w:rsid w:val="00DE3909"/>
    <w:rsid w:val="00DF12F3"/>
    <w:rsid w:val="00E04C95"/>
    <w:rsid w:val="00E0667F"/>
    <w:rsid w:val="00E079BB"/>
    <w:rsid w:val="00E101FE"/>
    <w:rsid w:val="00E312AB"/>
    <w:rsid w:val="00EA1E05"/>
    <w:rsid w:val="00EC57E6"/>
    <w:rsid w:val="00EF3778"/>
    <w:rsid w:val="00EF5B82"/>
    <w:rsid w:val="00F047AB"/>
    <w:rsid w:val="00F04E5B"/>
    <w:rsid w:val="00F071FD"/>
    <w:rsid w:val="00F241FD"/>
    <w:rsid w:val="00F348EA"/>
    <w:rsid w:val="00F5212F"/>
    <w:rsid w:val="00F6036E"/>
    <w:rsid w:val="00F63E3C"/>
    <w:rsid w:val="00F66AFA"/>
    <w:rsid w:val="00F904FD"/>
    <w:rsid w:val="00FA34AC"/>
    <w:rsid w:val="00FA4149"/>
    <w:rsid w:val="00FA6AE8"/>
    <w:rsid w:val="00FB76B0"/>
    <w:rsid w:val="00FD12D4"/>
    <w:rsid w:val="00FE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A52AB-9D05-477C-8880-5442F4B1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B006D6"/>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B006D6"/>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B006D6"/>
    <w:pPr>
      <w:keepNext/>
      <w:spacing w:before="360" w:after="240"/>
      <w:outlineLvl w:val="2"/>
    </w:pPr>
    <w:rPr>
      <w:b/>
      <w:bCs/>
      <w:szCs w:val="26"/>
    </w:rPr>
  </w:style>
  <w:style w:type="paragraph" w:styleId="Heading4">
    <w:name w:val="heading 4"/>
    <w:basedOn w:val="Normal"/>
    <w:next w:val="Normal"/>
    <w:link w:val="Heading4Char"/>
    <w:uiPriority w:val="9"/>
    <w:unhideWhenUsed/>
    <w:rsid w:val="00B006D6"/>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B006D6"/>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307860"/>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948E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B006D6"/>
    <w:pPr>
      <w:pageBreakBefore/>
      <w:spacing w:before="3000"/>
      <w:jc w:val="center"/>
    </w:pPr>
    <w:rPr>
      <w:i/>
    </w:rPr>
  </w:style>
  <w:style w:type="paragraph" w:styleId="BodyText">
    <w:name w:val="Body Text"/>
    <w:basedOn w:val="Normal"/>
    <w:link w:val="BodyTextChar"/>
    <w:qFormat/>
    <w:rsid w:val="00B006D6"/>
    <w:pPr>
      <w:spacing w:before="240"/>
      <w:jc w:val="both"/>
    </w:pPr>
  </w:style>
  <w:style w:type="character" w:customStyle="1" w:styleId="BodyTextChar">
    <w:name w:val="Body Text Char"/>
    <w:link w:val="BodyText"/>
    <w:rsid w:val="00B006D6"/>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B006D6"/>
    <w:pPr>
      <w:keepNext/>
      <w:spacing w:before="240" w:after="120"/>
      <w:ind w:left="720" w:right="720"/>
      <w:contextualSpacing/>
      <w:jc w:val="center"/>
    </w:pPr>
    <w:rPr>
      <w:b/>
      <w:bCs/>
      <w:szCs w:val="18"/>
    </w:rPr>
  </w:style>
  <w:style w:type="character" w:customStyle="1" w:styleId="Heading3Char">
    <w:name w:val="Heading 3 Char"/>
    <w:link w:val="Heading3"/>
    <w:rsid w:val="00B006D6"/>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B006D6"/>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597D6F"/>
    <w:rPr>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B006D6"/>
  </w:style>
  <w:style w:type="paragraph" w:styleId="Footer">
    <w:name w:val="footer"/>
    <w:basedOn w:val="BodyText"/>
    <w:link w:val="FooterChar"/>
    <w:uiPriority w:val="9"/>
    <w:rsid w:val="00B006D6"/>
    <w:pPr>
      <w:tabs>
        <w:tab w:val="right" w:pos="9360"/>
      </w:tabs>
      <w:contextualSpacing/>
    </w:pPr>
  </w:style>
  <w:style w:type="character" w:customStyle="1" w:styleId="FooterChar">
    <w:name w:val="Footer Char"/>
    <w:basedOn w:val="DefaultParagraphFont"/>
    <w:link w:val="Footer"/>
    <w:uiPriority w:val="9"/>
    <w:rsid w:val="00B006D6"/>
    <w:rPr>
      <w:rFonts w:ascii="Times New Roman" w:eastAsia="Times New Roman" w:hAnsi="Times New Roman" w:cs="Times New Roman"/>
      <w:sz w:val="24"/>
      <w:szCs w:val="24"/>
    </w:rPr>
  </w:style>
  <w:style w:type="paragraph" w:styleId="Header">
    <w:name w:val="header"/>
    <w:basedOn w:val="Normal"/>
    <w:link w:val="HeaderChar"/>
    <w:uiPriority w:val="9"/>
    <w:rsid w:val="00B006D6"/>
    <w:pPr>
      <w:tabs>
        <w:tab w:val="center" w:pos="4680"/>
        <w:tab w:val="right" w:pos="9360"/>
      </w:tabs>
      <w:spacing w:after="240"/>
      <w:contextualSpacing/>
    </w:pPr>
  </w:style>
  <w:style w:type="character" w:customStyle="1" w:styleId="HeaderChar">
    <w:name w:val="Header Char"/>
    <w:link w:val="Header"/>
    <w:uiPriority w:val="9"/>
    <w:rsid w:val="00B006D6"/>
    <w:rPr>
      <w:rFonts w:ascii="Times New Roman" w:eastAsia="Times New Roman" w:hAnsi="Times New Roman" w:cs="Times New Roman"/>
      <w:sz w:val="24"/>
      <w:szCs w:val="24"/>
    </w:rPr>
  </w:style>
  <w:style w:type="character" w:customStyle="1" w:styleId="Heading1Char">
    <w:name w:val="Heading 1 Char"/>
    <w:link w:val="Heading1"/>
    <w:uiPriority w:val="9"/>
    <w:rsid w:val="00B006D6"/>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B006D6"/>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07860"/>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B006D6"/>
    <w:pPr>
      <w:ind w:left="360"/>
    </w:pPr>
  </w:style>
  <w:style w:type="paragraph" w:customStyle="1" w:styleId="Indent1Tight">
    <w:name w:val="Indent 1 Tight"/>
    <w:basedOn w:val="Indent1"/>
    <w:uiPriority w:val="1"/>
    <w:qFormat/>
    <w:rsid w:val="00B006D6"/>
    <w:pPr>
      <w:spacing w:before="120"/>
    </w:pPr>
    <w:rPr>
      <w:szCs w:val="20"/>
    </w:rPr>
  </w:style>
  <w:style w:type="paragraph" w:customStyle="1" w:styleId="Indent2">
    <w:name w:val="Indent 2"/>
    <w:basedOn w:val="BodyText"/>
    <w:qFormat/>
    <w:rsid w:val="00B006D6"/>
    <w:pPr>
      <w:ind w:left="720"/>
    </w:pPr>
  </w:style>
  <w:style w:type="paragraph" w:customStyle="1" w:styleId="Indent2Tight">
    <w:name w:val="Indent 2 Tight"/>
    <w:basedOn w:val="Indent2"/>
    <w:uiPriority w:val="1"/>
    <w:qFormat/>
    <w:rsid w:val="00B006D6"/>
    <w:pPr>
      <w:contextualSpacing/>
    </w:pPr>
  </w:style>
  <w:style w:type="paragraph" w:customStyle="1" w:styleId="Indent3">
    <w:name w:val="Indent 3"/>
    <w:basedOn w:val="BodyText"/>
    <w:qFormat/>
    <w:rsid w:val="00B006D6"/>
    <w:pPr>
      <w:spacing w:before="180"/>
      <w:ind w:left="1080"/>
    </w:pPr>
  </w:style>
  <w:style w:type="paragraph" w:customStyle="1" w:styleId="Indent4">
    <w:name w:val="Indent 4"/>
    <w:basedOn w:val="BodyText"/>
    <w:qFormat/>
    <w:rsid w:val="00B006D6"/>
    <w:pPr>
      <w:spacing w:before="120"/>
      <w:ind w:left="1440"/>
    </w:pPr>
    <w:rPr>
      <w:iCs/>
      <w:szCs w:val="20"/>
    </w:rPr>
  </w:style>
  <w:style w:type="paragraph" w:customStyle="1" w:styleId="Instructions">
    <w:name w:val="Instructions"/>
    <w:basedOn w:val="BodyText"/>
    <w:next w:val="BodyText"/>
    <w:link w:val="InstructionsChar"/>
    <w:qFormat/>
    <w:rsid w:val="00B006D6"/>
    <w:pPr>
      <w:keepNext/>
      <w:spacing w:after="120"/>
    </w:pPr>
    <w:rPr>
      <w:u w:val="single"/>
    </w:rPr>
  </w:style>
  <w:style w:type="character" w:customStyle="1" w:styleId="InstructionsChar">
    <w:name w:val="Instructions Char"/>
    <w:basedOn w:val="DefaultParagraphFont"/>
    <w:link w:val="Instructions"/>
    <w:rsid w:val="00B006D6"/>
    <w:rPr>
      <w:rFonts w:ascii="Times New Roman" w:eastAsia="Times New Roman" w:hAnsi="Times New Roman" w:cs="Times New Roman"/>
      <w:sz w:val="24"/>
      <w:szCs w:val="24"/>
      <w:u w:val="single"/>
    </w:rPr>
  </w:style>
  <w:style w:type="paragraph" w:customStyle="1" w:styleId="Materials">
    <w:name w:val="Materials"/>
    <w:basedOn w:val="Normal"/>
    <w:qFormat/>
    <w:rsid w:val="00B006D6"/>
    <w:pPr>
      <w:tabs>
        <w:tab w:val="left" w:pos="5757"/>
      </w:tabs>
      <w:spacing w:before="120"/>
      <w:ind w:left="360"/>
      <w:contextualSpacing/>
    </w:pPr>
  </w:style>
  <w:style w:type="paragraph" w:customStyle="1" w:styleId="Revisiondate">
    <w:name w:val="Revision date"/>
    <w:basedOn w:val="Normal"/>
    <w:next w:val="Heading3"/>
    <w:uiPriority w:val="4"/>
    <w:rsid w:val="00B006D6"/>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8948E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B006D6"/>
    <w:pPr>
      <w:keepNext/>
      <w:tabs>
        <w:tab w:val="right" w:pos="9360"/>
      </w:tabs>
      <w:spacing w:before="300" w:after="120"/>
    </w:pPr>
    <w:rPr>
      <w:b/>
    </w:rPr>
  </w:style>
  <w:style w:type="paragraph" w:styleId="TOC2">
    <w:name w:val="toc 2"/>
    <w:basedOn w:val="Normal"/>
    <w:next w:val="Normal"/>
    <w:autoRedefine/>
    <w:uiPriority w:val="39"/>
    <w:rsid w:val="00B006D6"/>
    <w:pPr>
      <w:tabs>
        <w:tab w:val="right" w:leader="dot" w:pos="9360"/>
      </w:tabs>
      <w:ind w:left="1944" w:right="1080" w:hanging="1584"/>
    </w:pPr>
  </w:style>
  <w:style w:type="character" w:styleId="Hyperlink">
    <w:name w:val="Hyperlink"/>
    <w:uiPriority w:val="99"/>
    <w:rsid w:val="00B006D6"/>
    <w:rPr>
      <w:color w:val="0000FF"/>
      <w:u w:val="single"/>
    </w:rPr>
  </w:style>
  <w:style w:type="paragraph" w:styleId="BalloonText">
    <w:name w:val="Balloon Text"/>
    <w:basedOn w:val="Normal"/>
    <w:link w:val="BalloonTextChar"/>
    <w:uiPriority w:val="99"/>
    <w:semiHidden/>
    <w:unhideWhenUsed/>
    <w:rsid w:val="00307860"/>
    <w:rPr>
      <w:rFonts w:ascii="Tahoma" w:hAnsi="Tahoma" w:cs="Tahoma"/>
      <w:sz w:val="16"/>
      <w:szCs w:val="16"/>
    </w:rPr>
  </w:style>
  <w:style w:type="character" w:customStyle="1" w:styleId="BalloonTextChar">
    <w:name w:val="Balloon Text Char"/>
    <w:basedOn w:val="DefaultParagraphFont"/>
    <w:link w:val="BalloonText"/>
    <w:uiPriority w:val="99"/>
    <w:semiHidden/>
    <w:rsid w:val="00307860"/>
    <w:rPr>
      <w:rFonts w:ascii="Tahoma" w:eastAsia="Times New Roman" w:hAnsi="Tahoma" w:cs="Tahoma"/>
      <w:sz w:val="16"/>
      <w:szCs w:val="16"/>
    </w:rPr>
  </w:style>
  <w:style w:type="paragraph" w:styleId="Subtitle">
    <w:name w:val="Subtitle"/>
    <w:basedOn w:val="BodyText"/>
    <w:next w:val="Heading3"/>
    <w:link w:val="SubtitleChar"/>
    <w:qFormat/>
    <w:rsid w:val="00B006D6"/>
    <w:pPr>
      <w:keepNext/>
      <w:spacing w:before="360"/>
      <w:jc w:val="center"/>
    </w:pPr>
    <w:rPr>
      <w:b/>
    </w:rPr>
  </w:style>
  <w:style w:type="character" w:customStyle="1" w:styleId="SubtitleChar">
    <w:name w:val="Subtitle Char"/>
    <w:basedOn w:val="DefaultParagraphFont"/>
    <w:link w:val="Subtitle"/>
    <w:rsid w:val="00B006D6"/>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B006D6"/>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07860"/>
    <w:rPr>
      <w:color w:val="808080"/>
    </w:rPr>
  </w:style>
  <w:style w:type="character" w:customStyle="1" w:styleId="SectionName">
    <w:name w:val="Section Name"/>
    <w:basedOn w:val="DefaultParagraphFont"/>
    <w:uiPriority w:val="1"/>
    <w:qFormat/>
    <w:rsid w:val="00B006D6"/>
    <w:rPr>
      <w:caps/>
      <w:smallCaps w:val="0"/>
    </w:rPr>
  </w:style>
  <w:style w:type="character" w:customStyle="1" w:styleId="Heading4Char">
    <w:name w:val="Heading 4 Char"/>
    <w:basedOn w:val="DefaultParagraphFont"/>
    <w:link w:val="Heading4"/>
    <w:uiPriority w:val="9"/>
    <w:rsid w:val="00B006D6"/>
    <w:rPr>
      <w:rFonts w:ascii="Times New Roman" w:eastAsiaTheme="majorEastAsia" w:hAnsi="Times New Roman" w:cstheme="majorBidi"/>
      <w:b/>
      <w:bCs/>
      <w:iCs/>
      <w:sz w:val="60"/>
      <w:szCs w:val="24"/>
    </w:rPr>
  </w:style>
  <w:style w:type="table" w:customStyle="1" w:styleId="TableSCR">
    <w:name w:val="Table SCR"/>
    <w:basedOn w:val="TableNormal"/>
    <w:uiPriority w:val="99"/>
    <w:rsid w:val="00B006D6"/>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B006D6"/>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Indent3Tight">
    <w:name w:val="Indent 3 Tight"/>
    <w:basedOn w:val="Indent3"/>
    <w:uiPriority w:val="1"/>
    <w:qFormat/>
    <w:rsid w:val="006D2E36"/>
    <w:pPr>
      <w:contextualSpacing/>
    </w:pPr>
  </w:style>
  <w:style w:type="paragraph" w:customStyle="1" w:styleId="Indent4Tight">
    <w:name w:val="Indent 4 Tight"/>
    <w:basedOn w:val="Indent4"/>
    <w:uiPriority w:val="1"/>
    <w:qFormat/>
    <w:rsid w:val="006D2E36"/>
    <w:pPr>
      <w:contextualSpacing/>
    </w:pPr>
  </w:style>
  <w:style w:type="character" w:styleId="FollowedHyperlink">
    <w:name w:val="FollowedHyperlink"/>
    <w:basedOn w:val="DefaultParagraphFont"/>
    <w:uiPriority w:val="99"/>
    <w:semiHidden/>
    <w:unhideWhenUsed/>
    <w:rsid w:val="00DA0DBF"/>
    <w:rPr>
      <w:color w:val="800080" w:themeColor="followedHyperlink"/>
      <w:u w:val="single"/>
    </w:rPr>
  </w:style>
  <w:style w:type="paragraph" w:styleId="Revision">
    <w:name w:val="Revision"/>
    <w:hidden/>
    <w:uiPriority w:val="99"/>
    <w:semiHidden/>
    <w:rsid w:val="000A6963"/>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006D6"/>
    <w:rPr>
      <w:rFonts w:asciiTheme="majorHAnsi" w:eastAsiaTheme="majorEastAsia" w:hAnsiTheme="majorHAnsi" w:cstheme="majorBidi"/>
      <w:color w:val="243F60" w:themeColor="accent1" w:themeShade="7F"/>
      <w:sz w:val="24"/>
      <w:szCs w:val="24"/>
    </w:rPr>
  </w:style>
  <w:style w:type="table" w:customStyle="1" w:styleId="TableSCR1">
    <w:name w:val="Table SCR1"/>
    <w:basedOn w:val="TableNormal"/>
    <w:uiPriority w:val="99"/>
    <w:rsid w:val="005611EA"/>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1">
    <w:name w:val="Table SCR Rotated1"/>
    <w:basedOn w:val="TableNormal"/>
    <w:uiPriority w:val="99"/>
    <w:rsid w:val="00623270"/>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2">
    <w:name w:val="Table SCR2"/>
    <w:basedOn w:val="TableNormal"/>
    <w:uiPriority w:val="99"/>
    <w:rsid w:val="003D2325"/>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3">
    <w:name w:val="Table SCR3"/>
    <w:basedOn w:val="TableNormal"/>
    <w:uiPriority w:val="99"/>
    <w:rsid w:val="00662E1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4">
    <w:name w:val="Table SCR4"/>
    <w:basedOn w:val="TableNormal"/>
    <w:uiPriority w:val="99"/>
    <w:rsid w:val="00032B29"/>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2">
    <w:name w:val="Table SCR Rotated2"/>
    <w:basedOn w:val="TableNormal"/>
    <w:uiPriority w:val="99"/>
    <w:rsid w:val="009B42C0"/>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Rotated3">
    <w:name w:val="Table SCR Rotated3"/>
    <w:basedOn w:val="TableNormal"/>
    <w:uiPriority w:val="99"/>
    <w:rsid w:val="000F04F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Rotated31">
    <w:name w:val="Table SCR Rotated31"/>
    <w:basedOn w:val="TableNormal"/>
    <w:uiPriority w:val="99"/>
    <w:rsid w:val="00E04C95"/>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Rotated4">
    <w:name w:val="Table SCR Rotated4"/>
    <w:basedOn w:val="TableNormal"/>
    <w:uiPriority w:val="99"/>
    <w:rsid w:val="0076372D"/>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Rotated11">
    <w:name w:val="Table SCR Rotated11"/>
    <w:basedOn w:val="TableNormal"/>
    <w:uiPriority w:val="99"/>
    <w:rsid w:val="00343E71"/>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Rotated32">
    <w:name w:val="Table SCR Rotated32"/>
    <w:basedOn w:val="TableNormal"/>
    <w:uiPriority w:val="99"/>
    <w:rsid w:val="005453D6"/>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customStyle="1" w:styleId="TableSCRRotated33">
    <w:name w:val="Table SCR Rotated33"/>
    <w:basedOn w:val="TableNormal"/>
    <w:uiPriority w:val="99"/>
    <w:rsid w:val="005F3A88"/>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9065-1E99-4343-BEFF-8A96ADF5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224</TotalTime>
  <Pages>22</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SCR Template, Table of Contents (Entire document)</vt:lpstr>
    </vt:vector>
  </TitlesOfParts>
  <Company>DOT</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 Table of Contents (Entire document)</dc:title>
  <dc:subject>Special Contract Requirements (SCR)</dc:subject>
  <dc:creator>Stephen Chapman</dc:creator>
  <cp:lastModifiedBy>Kwock, Greg (FHWA)</cp:lastModifiedBy>
  <cp:revision>45</cp:revision>
  <cp:lastPrinted>2019-04-12T16:16:00Z</cp:lastPrinted>
  <dcterms:created xsi:type="dcterms:W3CDTF">2019-04-11T20:37:00Z</dcterms:created>
  <dcterms:modified xsi:type="dcterms:W3CDTF">2019-07-23T15:27:00Z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[INSERT PROJECT NUMBER, INSERT PROJECT NAME]</vt:lpwstr>
  </property>
</Properties>
</file>